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4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8335"/>
      </w:tblGrid>
      <w:tr w14:paraId="76997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B625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3" w:name="_GoBack"/>
            <w:bookmarkEnd w:id="3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หมวด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82CC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</w:p>
        </w:tc>
      </w:tr>
      <w:tr w14:paraId="70018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EB92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แผน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งาน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1547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>10.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การพัฒนาระบบธรรมาภิบาลและองค์กรคุณภาพ</w:t>
            </w:r>
          </w:p>
        </w:tc>
      </w:tr>
      <w:tr w14:paraId="7F28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F352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โครงการ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7EC1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>23.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โครงการพัฒนาคุณภาพการตรวจทางห้องปฏิบัติการอย่างสมเหตุผล</w:t>
            </w:r>
          </w:p>
        </w:tc>
      </w:tr>
      <w:tr w14:paraId="3FB35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7B50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ระดับการ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แสดงผล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9DE5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จังหวัด </w:t>
            </w:r>
          </w:p>
        </w:tc>
      </w:tr>
      <w:tr w14:paraId="35B0B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9E91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ชื่อตัวชี้วัด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82746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30.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ร้อยละของโรงพยาบาลใน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ผ่านเกณฑ์พัฒนา โรงพยาบาลที่มีการตรวจทางห้องปฏิบัติการทางการแพทย์อย่างสมเหตุผล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RLU hospital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Plus)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อย่างน้อย ร้อยละ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50</w:t>
            </w:r>
          </w:p>
          <w:p w14:paraId="3E1EE5E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   30.1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เกณฑ์การให้คะแนน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74"/>
              <w:gridCol w:w="6093"/>
            </w:tblGrid>
            <w:tr w14:paraId="314CFA1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15DC3D0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คะแนน</w:t>
                  </w:r>
                </w:p>
              </w:tc>
              <w:tc>
                <w:tcPr>
                  <w:tcW w:w="6093" w:type="dxa"/>
                </w:tcPr>
                <w:p w14:paraId="3D1D8A3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เกณฑ์ผลการดำเนินงาน</w:t>
                  </w:r>
                </w:p>
              </w:tc>
            </w:tr>
            <w:tr w14:paraId="68D8551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7122F31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6093" w:type="dxa"/>
                </w:tcPr>
                <w:p w14:paraId="64D5603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มากกว่าหรือเท่ากับร้อยละ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50</w:t>
                  </w:r>
                </w:p>
              </w:tc>
            </w:tr>
            <w:tr w14:paraId="02A3AA4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4E449DD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9</w:t>
                  </w:r>
                </w:p>
              </w:tc>
              <w:tc>
                <w:tcPr>
                  <w:tcW w:w="6093" w:type="dxa"/>
                </w:tcPr>
                <w:p w14:paraId="3968C03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45 - 49</w:t>
                  </w:r>
                </w:p>
              </w:tc>
            </w:tr>
            <w:tr w14:paraId="0669A3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5BC8D9A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6093" w:type="dxa"/>
                </w:tcPr>
                <w:p w14:paraId="4353F1A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4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- 4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</w:tr>
            <w:tr w14:paraId="30635BE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1DA9A2F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6093" w:type="dxa"/>
                </w:tcPr>
                <w:p w14:paraId="0FDD1B0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35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-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39</w:t>
                  </w:r>
                </w:p>
              </w:tc>
            </w:tr>
            <w:tr w14:paraId="1DF579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6EC862E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6093" w:type="dxa"/>
                </w:tcPr>
                <w:p w14:paraId="188769E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30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-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34</w:t>
                  </w:r>
                </w:p>
              </w:tc>
            </w:tr>
            <w:tr w14:paraId="784DF9C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4DA3E35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6093" w:type="dxa"/>
                </w:tcPr>
                <w:p w14:paraId="2354690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-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29</w:t>
                  </w:r>
                </w:p>
              </w:tc>
            </w:tr>
            <w:tr w14:paraId="613037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6480BDE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6093" w:type="dxa"/>
                </w:tcPr>
                <w:p w14:paraId="3A015BE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20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-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24</w:t>
                  </w:r>
                </w:p>
              </w:tc>
            </w:tr>
            <w:tr w14:paraId="2780058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7BFD0CB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6093" w:type="dxa"/>
                </w:tcPr>
                <w:p w14:paraId="35DE2D6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15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-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19</w:t>
                  </w:r>
                </w:p>
              </w:tc>
            </w:tr>
            <w:tr w14:paraId="3C124D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7B3A8EC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6093" w:type="dxa"/>
                </w:tcPr>
                <w:p w14:paraId="10843C8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10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-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14</w:t>
                  </w:r>
                </w:p>
              </w:tc>
            </w:tr>
            <w:tr w14:paraId="230ED1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74" w:type="dxa"/>
                </w:tcPr>
                <w:p w14:paraId="670AE1C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6093" w:type="dxa"/>
                </w:tcPr>
                <w:p w14:paraId="27848C8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ผ่านเกณฑ์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RLU hospital Plus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-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9</w:t>
                  </w:r>
                </w:p>
              </w:tc>
            </w:tr>
          </w:tbl>
          <w:p w14:paraId="55521B1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   30.2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โรงพยาบาลผ่านเกณฑ์การประเมินเป็น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RLU Hospital Plus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ระดับคุณภาพ ดังนี้</w:t>
            </w:r>
          </w:p>
          <w:p w14:paraId="6C40B60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          1)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ผ่านเกณฑ์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The Must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ทุกข้อ 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2)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คะแนนรวม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≥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80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คะแนน 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83"/>
              <w:gridCol w:w="3984"/>
            </w:tblGrid>
            <w:tr w14:paraId="0ED387C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3" w:type="dxa"/>
                </w:tcPr>
                <w:p w14:paraId="1478CB1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ระดับคุณภาพ</w:t>
                  </w:r>
                </w:p>
              </w:tc>
              <w:tc>
                <w:tcPr>
                  <w:tcW w:w="3984" w:type="dxa"/>
                </w:tcPr>
                <w:p w14:paraId="7913FCB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>ช่วงคะแนน</w:t>
                  </w:r>
                </w:p>
              </w:tc>
            </w:tr>
            <w:tr w14:paraId="28769C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3" w:type="dxa"/>
                </w:tcPr>
                <w:p w14:paraId="640D6C4F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ระดับ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5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=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ดีเยี่ยม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>Excellent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3984" w:type="dxa"/>
                </w:tcPr>
                <w:p w14:paraId="7200EC5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90 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t>–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100</w:t>
                  </w:r>
                </w:p>
              </w:tc>
            </w:tr>
            <w:tr w14:paraId="32E4D52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3" w:type="dxa"/>
                </w:tcPr>
                <w:p w14:paraId="6952E9A0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ระดับ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4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=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ดี      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>Good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)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           </w:t>
                  </w:r>
                </w:p>
              </w:tc>
              <w:tc>
                <w:tcPr>
                  <w:tcW w:w="3984" w:type="dxa"/>
                </w:tcPr>
                <w:p w14:paraId="2CD999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80 - 89</w:t>
                  </w:r>
                </w:p>
              </w:tc>
            </w:tr>
            <w:tr w14:paraId="2FC405C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3" w:type="dxa"/>
                </w:tcPr>
                <w:p w14:paraId="48C37BE4">
                  <w:pPr>
                    <w:spacing w:after="0" w:line="240" w:lineRule="auto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ระดับ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3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=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พอใช้ 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>Fair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               </w:t>
                  </w:r>
                </w:p>
              </w:tc>
              <w:tc>
                <w:tcPr>
                  <w:tcW w:w="3984" w:type="dxa"/>
                </w:tcPr>
                <w:p w14:paraId="0E74BEAF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60 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t>–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79</w:t>
                  </w:r>
                </w:p>
              </w:tc>
            </w:tr>
            <w:tr w14:paraId="4042C0D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3" w:type="dxa"/>
                </w:tcPr>
                <w:p w14:paraId="3B649BAC">
                  <w:pPr>
                    <w:spacing w:after="0" w:line="240" w:lineRule="auto"/>
                    <w:rPr>
                      <w:rFonts w:hint="cs"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ระดับ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2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=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ต้องพัฒนา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>Developing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3984" w:type="dxa"/>
                </w:tcPr>
                <w:p w14:paraId="1DB4E85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41 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t>–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59</w:t>
                  </w:r>
                </w:p>
              </w:tc>
            </w:tr>
            <w:tr w14:paraId="707E46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3" w:type="dxa"/>
                </w:tcPr>
                <w:p w14:paraId="0B604733">
                  <w:pPr>
                    <w:spacing w:after="0" w:line="240" w:lineRule="auto"/>
                    <w:rPr>
                      <w:rFonts w:hint="cs"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ระดับ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=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ต้องเร่งแก้ไข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>Critical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    </w:t>
                  </w:r>
                </w:p>
              </w:tc>
              <w:tc>
                <w:tcPr>
                  <w:tcW w:w="3984" w:type="dxa"/>
                </w:tcPr>
                <w:p w14:paraId="07981585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ต่ำกว่าหรือเท่ากับ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40</w:t>
                  </w:r>
                </w:p>
              </w:tc>
            </w:tr>
          </w:tbl>
          <w:p w14:paraId="52B54535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Style w:val="8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983"/>
              <w:gridCol w:w="3984"/>
            </w:tblGrid>
            <w:tr w14:paraId="6F2FB0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3" w:type="dxa"/>
                </w:tcPr>
                <w:p w14:paraId="37EF27F6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b/>
                      <w:bCs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ระดับคะแนนเชิงปริมาณ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(70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%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3984" w:type="dxa"/>
                </w:tcPr>
                <w:p w14:paraId="6CDCD6F7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  <w:lang w:val="th-TH" w:bidi="th-TH"/>
                    </w:rPr>
                    <w:t xml:space="preserve">ระดับคะแนนเชิงคุณภาพ ด้านผลลัพธ์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(30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%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28"/>
                      <w:cs/>
                    </w:rPr>
                    <w:t>)</w:t>
                  </w:r>
                </w:p>
              </w:tc>
            </w:tr>
            <w:tr w14:paraId="5690FD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3" w:type="dxa"/>
                </w:tcPr>
                <w:p w14:paraId="138C3DE4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ตัวอย่าง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)   10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× 0.7 =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3984" w:type="dxa"/>
                </w:tcPr>
                <w:p w14:paraId="062F104D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ตัวอย่าง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) (60 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t>÷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10) 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t>×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0.3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=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1.8</w:t>
                  </w:r>
                </w:p>
              </w:tc>
            </w:tr>
            <w:tr w14:paraId="14CE9BA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983" w:type="dxa"/>
                </w:tcPr>
                <w:p w14:paraId="135982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ระดับคะแนนที่ได้ 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t>×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0.7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>= Score</w:t>
                  </w:r>
                </w:p>
              </w:tc>
              <w:tc>
                <w:tcPr>
                  <w:tcW w:w="3984" w:type="dxa"/>
                </w:tcPr>
                <w:p w14:paraId="6BDCE874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z w:val="28"/>
                    </w:rPr>
                  </w:pP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คะแนนที่ได้ 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t>÷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10) </w:t>
                  </w:r>
                  <w:r>
                    <w:rPr>
                      <w:rFonts w:ascii="TH SarabunPSK" w:hAnsi="TH SarabunPSK" w:cs="TH SarabunPSK"/>
                      <w:sz w:val="28"/>
                      <w:cs/>
                    </w:rPr>
                    <w:t>×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 0.3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>= Score</w:t>
                  </w:r>
                </w:p>
              </w:tc>
            </w:tr>
            <w:tr w14:paraId="21AC517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967" w:type="dxa"/>
                  <w:gridSpan w:val="2"/>
                </w:tcPr>
                <w:p w14:paraId="219D1145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8"/>
                    </w:rPr>
                    <w:t xml:space="preserve">Score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เชิงปริมาณ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 xml:space="preserve">+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Score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 xml:space="preserve">เชิงคุณภาพ </w:t>
                  </w:r>
                  <w:r>
                    <w:rPr>
                      <w:rFonts w:ascii="TH SarabunPSK" w:hAnsi="TH SarabunPSK" w:cs="TH SarabunPSK"/>
                      <w:sz w:val="28"/>
                    </w:rPr>
                    <w:t xml:space="preserve">= 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8.8 (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  <w:lang w:val="th-TH" w:bidi="th-TH"/>
                    </w:rPr>
                    <w:t>ตัวอย่าง</w:t>
                  </w:r>
                  <w:r>
                    <w:rPr>
                      <w:rFonts w:hint="cs" w:ascii="TH SarabunPSK" w:hAnsi="TH SarabunPSK" w:cs="TH SarabunPSK"/>
                      <w:sz w:val="28"/>
                      <w:cs/>
                    </w:rPr>
                    <w:t>)</w:t>
                  </w:r>
                </w:p>
              </w:tc>
            </w:tr>
          </w:tbl>
          <w:p w14:paraId="7FB7981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30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ร้อยละของผู้ป่วยโรคเบาหวาน ได้รับการตรวจ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HbA1c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ซ้ำภายใน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90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วัน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ไม่เกิน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)   </w:t>
            </w:r>
          </w:p>
          <w:p w14:paraId="4151DD1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30.4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ร้อยละของผู้ป่วยโรคเบาหวาน ได้รับการตรวจ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HbA1c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อย่างน้อยปีละ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ครั้ง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มากกว่า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70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6E9CE0D2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30.5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ร้อยละของผู้ป่วยโรคเบาหวาน ได้รับการตรวจ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LDL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Cholesterol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ซ้ำภายใน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90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วัน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ไม่เกิน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) </w:t>
            </w:r>
          </w:p>
          <w:p w14:paraId="244CAB6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30.6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ร้อยละของผู้ป่วยโรคเบาหวาน ได้รับการตรวจ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LDL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Cholesterol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อย่างน้อยปีละ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ครั้ง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br w:type="textWrapping"/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       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มากกว่า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70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4FF42D4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30.7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ร้อยละของผู้ป่วยโรคเบาหวาน ได้รับการตรวจ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Creatinine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อย่างน้อยปีละ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1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>ครั้ง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มากกว่า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70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55F5D84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30.8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ร้อยละของผู้รับบริการ ได้รับการตรวจ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Total Cholesterol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ซ้ำภายใน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90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วัน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ไม่เกิน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01EA8E1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 xml:space="preserve"> 30.9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ร้อยละของผู้รับบริการ ได้รับการตรวจ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Triglycerides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ซ้ำภายใน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90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วัน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(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  <w:lang w:val="th-TH" w:bidi="th-TH"/>
              </w:rPr>
              <w:t xml:space="preserve">ไม่เกิน 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%</w:t>
            </w:r>
            <w:r>
              <w:rPr>
                <w:rFonts w:hint="cs" w:ascii="TH SarabunPSK" w:hAnsi="TH SarabunPSK" w:cs="TH SarabunPSK"/>
                <w:b/>
                <w:bCs/>
                <w:sz w:val="28"/>
                <w:cs/>
              </w:rPr>
              <w:t>)</w:t>
            </w:r>
          </w:p>
          <w:p w14:paraId="748F39FE">
            <w:pPr>
              <w:spacing w:after="0" w:line="240" w:lineRule="auto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14:paraId="750E3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043A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คำนิยาม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2334C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การตรวจทางห้องปฏิบัติการทางการแพทย์อย่างสมเหตุผล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Rational Laboratory Use, RLU)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หมายถึง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การสั่งตรวจทางห้องปฏิบัติการทางการแพทย์มีประสิทธิภาพและถูกต้อง โดยเลือกใช้การตรวจทางห้องปฏิบัติการอย่างเหมาะสมในการคัดกรอง การวินิจฉัย การติดตามผลการรักษาและพยากรณ์โรค โดยคำนึงถึงความปลอดภัยของผู้ป่วยเป็นสำคัญ</w:t>
            </w:r>
          </w:p>
          <w:p w14:paraId="7B1EEEB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เขตสุขภาพที่มี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การตรวจทางห้องปฏิบัติการทางการแพทย์อย่างสมเหตุผล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RLU region public health)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หมายถึง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เขตสุขภาพ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ที่มี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โรงพยาบาลที่มี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การตรวจทางห้องปฏิบัติการทางการแพทย์อย่างสมเหตุผล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RLU hospital)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อย่างน้อยร้อยละ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ของ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โรงพยาบาลในแต่ละเขตสุขภาพ</w:t>
            </w:r>
          </w:p>
          <w:p w14:paraId="01F31AA2"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กลุ่มผู้ป่วยโรคเบาหวาน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หมายถึง ประชากร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ได้รับการ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ขึ้นทะเบียน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ว่าเป็นผู้ป่วยโรคเบาหวาน และได้รับตรวจติดตามภาวะโรคเบาหวานด้วยการตรวจ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HbA1c, </w:t>
            </w:r>
            <w:r>
              <w:rPr>
                <w:rFonts w:ascii="TH SarabunPSK" w:hAnsi="TH SarabunPSK" w:cs="TH SarabunPSK"/>
                <w:sz w:val="36"/>
                <w:szCs w:val="36"/>
              </w:rPr>
              <w:t>LDL</w:t>
            </w:r>
            <w:r>
              <w:rPr>
                <w:rFonts w:hint="cs" w:ascii="TH SarabunPSK" w:hAnsi="TH SarabunPSK" w:cs="TH SarabunPSK"/>
                <w:sz w:val="36"/>
                <w:szCs w:val="36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Cholesterol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hint="cs" w:ascii="TH SarabunPSK" w:hAnsi="TH SarabunPSK" w:cs="TH SarabunPSK"/>
                <w:sz w:val="36"/>
                <w:szCs w:val="36"/>
                <w:cs/>
                <w:lang w:val="th-TH"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>Creatinine</w:t>
            </w:r>
          </w:p>
          <w:p w14:paraId="48DFABE0">
            <w:pPr>
              <w:spacing w:after="0" w:line="240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ผู้ป่วยที่ได้รับการ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ขึ้นทะเบียน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ว่าเป็นโรคเบาหวานควรได้รับการตรวจ </w:t>
            </w:r>
            <w:r>
              <w:rPr>
                <w:rFonts w:ascii="TH SarabunPSK" w:hAnsi="TH SarabunPSK" w:cs="TH SarabunPSK"/>
                <w:sz w:val="32"/>
                <w:szCs w:val="32"/>
              </w:rPr>
              <w:t>HbA1c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6"/>
                <w:szCs w:val="36"/>
              </w:rPr>
              <w:t>LDL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ซ้ำภายใน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วัน ไม่เกินร้อยละ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เพื่อเป็นการลดการสั่งตรวจซ้ำที่เกินความจำเป็น ในอีกทางหนึ่งคือ ผู้ป่วยที่ได้รับการ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ขึ้นทะเบียน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ว่าเป็นโรคเบาหวานควรได้รับการตรวจ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HbA1c, 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LDL </w:t>
            </w:r>
            <w:r>
              <w:rPr>
                <w:rFonts w:hint="cs" w:ascii="TH SarabunPSK" w:hAnsi="TH SarabunPSK" w:cs="TH SarabunPSK"/>
                <w:sz w:val="36"/>
                <w:szCs w:val="36"/>
                <w:cs/>
                <w:lang w:val="th-TH"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6"/>
                <w:szCs w:val="36"/>
              </w:rPr>
              <w:t>Creatinine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อย่างน้อยปีละ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ครั้ง มากกว่าร้อยละ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70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เพื่อเป็นการติดตามการตรวจที่เหมาะสมไม่น้อยเกินไป และเป็นประโยชน์ต่อสุขภาพของผู้ป่วย</w:t>
            </w:r>
          </w:p>
          <w:p w14:paraId="7E00E331">
            <w:pPr>
              <w:spacing w:after="0" w:line="240" w:lineRule="auto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กลุ่มผู้รับบริการ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หมายถึง </w:t>
            </w:r>
            <w:r>
              <w:rPr>
                <w:rFonts w:hint="cs" w:ascii="TH SarabunPSK" w:hAnsi="TH SarabunPSK" w:eastAsia="Calibri" w:cs="TH SarabunPSK"/>
                <w:color w:val="000000" w:themeColor="text1"/>
                <w:spacing w:val="-8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ผู้</w:t>
            </w:r>
            <w:bookmarkStart w:id="0" w:name="_Hlk215750768"/>
            <w:r>
              <w:rPr>
                <w:rFonts w:hint="cs" w:ascii="TH SarabunPSK" w:hAnsi="TH SarabunPSK" w:eastAsia="Calibri" w:cs="TH SarabunPSK"/>
                <w:color w:val="000000" w:themeColor="text1"/>
                <w:spacing w:val="-8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มารับบริการตรวจทางห้องปฏิบัติการได้รับการตรว</w:t>
            </w:r>
            <w:bookmarkEnd w:id="0"/>
            <w:r>
              <w:rPr>
                <w:rFonts w:hint="cs" w:ascii="TH SarabunPSK" w:hAnsi="TH SarabunPSK" w:eastAsia="Calibri" w:cs="TH SarabunPSK"/>
                <w:color w:val="000000" w:themeColor="text1"/>
                <w:spacing w:val="-8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จ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Total</w:t>
            </w:r>
          </w:p>
          <w:p w14:paraId="116CA00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Cholesterol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hint="cs" w:ascii="TH SarabunPSK" w:hAnsi="TH SarabunPSK" w:cs="TH SarabunPSK"/>
                <w:sz w:val="36"/>
                <w:szCs w:val="36"/>
                <w:cs/>
                <w:lang w:val="th-TH" w:bidi="th-TH"/>
              </w:rPr>
              <w:t>และ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Triglycerides</w:t>
            </w:r>
          </w:p>
          <w:p w14:paraId="74BF96EF"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</w:tr>
      <w:tr w14:paraId="4B5C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1A71">
            <w:pPr>
              <w:spacing w:after="0" w:line="240" w:lineRule="auto"/>
              <w:rPr>
                <w:rFonts w:hint="cs"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เกณฑ์เป้าหมาย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Style w:val="4"/>
              <w:tblW w:w="9899" w:type="dxa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005"/>
              <w:gridCol w:w="4894"/>
            </w:tblGrid>
            <w:tr w14:paraId="7443801F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A45D3DA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48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3DD1A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14:paraId="33AAA36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1CB6C4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มี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RLU hospital Plus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อย่างน้อยร้อยละ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50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ของ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โรงพยาบาลในจังหวัดอุดรธานี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(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11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โรงพยาบาล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) </w:t>
                  </w:r>
                </w:p>
              </w:tc>
              <w:tc>
                <w:tcPr>
                  <w:tcW w:w="48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4055DD9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มี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RLU hospital Plus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อย่างน้อยร้อยละ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65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ของ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โรงพยาบาลในจังหวัดอุดรธานี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(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14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โรงพยาบาล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)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</w:tr>
            <w:tr w14:paraId="5BAE3C66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3BDA5C86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ผู้ป่วยโรคเบาหวาน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HbA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c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ซ้ำภายใน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วัน 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8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31C4A56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ผู้ป่วยโรคเบาหวาน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HbA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c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ซ้ำภายใน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วัน 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 xml:space="preserve">4 </w:t>
                  </w:r>
                </w:p>
              </w:tc>
            </w:tr>
            <w:tr w14:paraId="7516BFBE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E849413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ร้อยละของผู้ป่วยโรคเบาหวาน ได้รับการตรวจ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HbA1c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อย่างน้อยปีละ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ครั้ง มากกว่าร้อยละ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7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0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48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4F3177A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ร้อยละของผู้ป่วยโรคเบาหวาน ได้รับการตรวจ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HbA1c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อย่างน้อยปีละ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ครั้ง มากกว่าร้อยละ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14:paraId="09208DA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68823F8">
                  <w:pPr>
                    <w:spacing w:after="0" w:line="240" w:lineRule="auto"/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ผู้ป่วยโรคเบาหวาน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         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LDL</w:t>
                  </w:r>
                  <w:r>
                    <w:rPr>
                      <w:rFonts w:hint="cs" w:ascii="TH SarabunPSK" w:hAnsi="TH SarabunPSK" w:cs="TH SarabunPSK"/>
                      <w:sz w:val="36"/>
                      <w:szCs w:val="36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Cholesterol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8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FD8BEE8">
                  <w:pPr>
                    <w:spacing w:after="0" w:line="240" w:lineRule="auto"/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ผู้ป่วยโรคเบาหวาน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ได้รับการตรวจ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         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LDL</w:t>
                  </w:r>
                  <w:r>
                    <w:rPr>
                      <w:rFonts w:hint="cs" w:ascii="TH SarabunPSK" w:hAnsi="TH SarabunPSK" w:cs="TH SarabunPSK"/>
                      <w:sz w:val="36"/>
                      <w:szCs w:val="36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Cholesterol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 xml:space="preserve">4 </w:t>
                  </w:r>
                </w:p>
              </w:tc>
            </w:tr>
            <w:tr w14:paraId="5D5641C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027AB60">
                  <w:pPr>
                    <w:spacing w:after="0" w:line="240" w:lineRule="auto"/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 ได้รับการตรวจ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        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LDL</w:t>
                  </w:r>
                  <w:r>
                    <w:rPr>
                      <w:rFonts w:hint="cs" w:ascii="TH SarabunPSK" w:hAnsi="TH SarabunPSK" w:cs="TH SarabunPSK"/>
                      <w:sz w:val="36"/>
                      <w:szCs w:val="36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Cholesterol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อย่างน้อยปีละ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1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ครั้ง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br w:type="textWrapping"/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มากกว่าร้อยละ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7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48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6CE6624E">
                  <w:pPr>
                    <w:spacing w:after="0" w:line="240" w:lineRule="auto"/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 ได้รับการตรวจ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       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LDL</w:t>
                  </w:r>
                  <w:r>
                    <w:rPr>
                      <w:rFonts w:hint="cs" w:ascii="TH SarabunPSK" w:hAnsi="TH SarabunPSK" w:cs="TH SarabunPSK"/>
                      <w:sz w:val="36"/>
                      <w:szCs w:val="36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Cholesterol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อย่างน้อยปีละ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ครั้ง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br w:type="textWrapping"/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มากกว่าร้อยละ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14:paraId="52F8C6A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03D868B8">
                  <w:pPr>
                    <w:spacing w:after="0" w:line="240" w:lineRule="auto"/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Creatinine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อย่างน้อยปีละ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ครั้ง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มากกว่าร้อยละ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7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48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20360209">
                  <w:pPr>
                    <w:spacing w:after="0" w:line="240" w:lineRule="auto"/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Creatinine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อย่างน้อยปีละ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ครั้ง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มากกว่าร้อยละ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14:paraId="4F4D697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582AC5A">
                  <w:pPr>
                    <w:spacing w:after="0" w:line="240" w:lineRule="auto"/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ผู้มารับบริการ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        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br w:type="textWrapping"/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Total Cholesterol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8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111AE199">
                  <w:pPr>
                    <w:spacing w:after="0" w:line="240" w:lineRule="auto"/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ผู้มารับบริการ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      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br w:type="textWrapping"/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Total Cholesterol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วัน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4</w:t>
                  </w:r>
                </w:p>
              </w:tc>
            </w:tr>
            <w:tr w14:paraId="17336A00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500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70390A7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ผู้มารับบริการ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ได้รับการตรวจ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Triglycerides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วัน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489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 w14:paraId="57529BE4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ผู้มารับบริการ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ได้รับการตรวจ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Triglycerides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วัน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4</w:t>
                  </w:r>
                </w:p>
              </w:tc>
            </w:tr>
          </w:tbl>
          <w:p w14:paraId="74A0795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14:paraId="683AF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3E63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วัตถุประสงค์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CB7BD">
            <w:pPr>
              <w:pStyle w:val="9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เพื่อขับเคลื่อนการพัฒนาระบบสุขภาพให้มีการสั่งตรวจทางห้องปฏิบัติการทางการแพทย์อย่างสมเหตุผล ในระดับ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เขตสุขภาพ</w:t>
            </w:r>
          </w:p>
          <w:p w14:paraId="1E34BCC8">
            <w:pPr>
              <w:pStyle w:val="9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เพื่อส่งเสริมการตรวจ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ทางห้องปฏิบัติการทางการแพทย์อย่างสมเหตุผล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โดยนำร่องในรายการตรวจ 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HbA1c</w:t>
            </w:r>
            <w:r>
              <w:rPr>
                <w:rFonts w:hint="cs"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th-TH" w:bidi="th-TH"/>
              </w:rPr>
              <w:t>ของผู้ป่วยโรคเบาหวาน</w:t>
            </w:r>
            <w:r>
              <w:rPr>
                <w:rFonts w:hint="cs" w:ascii="TH SarabunPSK" w:hAnsi="TH SarabunPSK" w:cs="TH SarabunPSK"/>
                <w:spacing w:val="-6"/>
                <w:sz w:val="32"/>
                <w:szCs w:val="32"/>
                <w:cs/>
                <w:lang w:val="th-TH" w:bidi="th-TH"/>
              </w:rPr>
              <w:t>ทั้งด้าน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Overutilization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Underutilization</w:t>
            </w:r>
          </w:p>
        </w:tc>
      </w:tr>
      <w:tr w14:paraId="48924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1BFB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ประชากรกลุ่มเป้าหมาย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3EB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สำนักงานสาธารณสุขจังหวัด โรงพยาบาลศูนย์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โรงพยาบาลทั่วไป โรงพยาบาลชุมชน </w:t>
            </w:r>
          </w:p>
        </w:tc>
      </w:tr>
      <w:tr w14:paraId="6C506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DB51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วิธีการจัดเก็บข้อมูล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958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สำนักงานสาธารณสุขจังหวัด รวบรวมและติดตามการส่งข้อมูลของอำเภอตามแนวทางที่กำหนด</w:t>
            </w:r>
          </w:p>
        </w:tc>
      </w:tr>
      <w:tr w14:paraId="70AD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32EC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แหล่งข้อมูล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7AA51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th-TH" w:bidi="th-TH"/>
              </w:rPr>
              <w:t>หน่วยงานผู้รับผิดชอบระดับ</w:t>
            </w:r>
            <w:r>
              <w:rPr>
                <w:rFonts w:hint="cs" w:ascii="TH SarabunPSK" w:hAnsi="TH SarabunPSK" w:cs="TH SarabunPSK"/>
                <w:spacing w:val="-6"/>
                <w:sz w:val="32"/>
                <w:szCs w:val="32"/>
                <w:cs/>
                <w:lang w:val="th-TH" w:bidi="th-TH"/>
              </w:rPr>
              <w:t>จังหวัด และ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th-TH" w:bidi="th-TH"/>
              </w:rPr>
              <w:t>อำเภอ ได้แก่ โรงพยาบาล และ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/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th-TH" w:bidi="th-TH"/>
              </w:rPr>
              <w:t>หรือสำนักงานสาธารณสุข</w:t>
            </w:r>
            <w:r>
              <w:rPr>
                <w:rFonts w:hint="cs" w:ascii="TH SarabunPSK" w:hAnsi="TH SarabunPSK" w:cs="TH SarabunPSK"/>
                <w:spacing w:val="-6"/>
                <w:sz w:val="32"/>
                <w:szCs w:val="32"/>
                <w:cs/>
                <w:lang w:val="th-TH" w:bidi="th-TH"/>
              </w:rPr>
              <w:t>จังหวัด</w:t>
            </w:r>
          </w:p>
        </w:tc>
      </w:tr>
      <w:tr w14:paraId="1F06B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D3B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สูตรคำนวณตัวชี้วัด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B8CE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ร้อยละของ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โรงพยาบาลในจังหวัด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ผ่านเกณฑ์พัฒนา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โรงพยาบาลที่มี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การตรวจทางห้องปฏิบัติการทางการแพทย์อย่างสมเหตุผล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(RLU hospital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Plus)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ตามเกณฑ์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ที่กำหนด</w:t>
            </w:r>
          </w:p>
          <w:p w14:paraId="7903BA15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(A/B) x 100</w:t>
            </w:r>
          </w:p>
        </w:tc>
      </w:tr>
      <w:tr w14:paraId="0B373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7381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F3DEA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eastAsia="Times New Roman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eastAsia="Times New Roman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eastAsia="Times New Roman" w:cs="TH SarabunPSK"/>
                <w:sz w:val="32"/>
                <w:szCs w:val="32"/>
                <w:cs/>
                <w:lang w:val="th-TH" w:bidi="th-TH"/>
              </w:rPr>
              <w:t>จำนวน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โรงพยาบาลในจังหวัด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ที่ผ่านตามเกณฑ์พัฒนา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โรงพยาบาลที่มี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การตรวจทางห้องปฏิบัติการทางการแพทย์อย่างสมเหตุผล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(RLU hospital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Plus) </w:t>
            </w:r>
            <w:r>
              <w:rPr>
                <w:rFonts w:hint="cs" w:ascii="TH SarabunPSK" w:hAnsi="TH SarabunPSK" w:cs="TH SarabunPSK"/>
                <w:spacing w:val="-8"/>
                <w:sz w:val="32"/>
                <w:szCs w:val="32"/>
                <w:cs/>
                <w:lang w:val="th-TH" w:bidi="th-TH"/>
              </w:rPr>
              <w:t>ตาม</w:t>
            </w:r>
            <w: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th-TH" w:bidi="th-TH"/>
              </w:rPr>
              <w:t>ที่</w:t>
            </w:r>
            <w:r>
              <w:rPr>
                <w:rFonts w:hint="cs" w:ascii="TH SarabunPSK" w:hAnsi="TH SarabunPSK" w:cs="TH SarabunPSK"/>
                <w:spacing w:val="-8"/>
                <w:sz w:val="32"/>
                <w:szCs w:val="32"/>
                <w:cs/>
                <w:lang w:val="th-TH" w:bidi="th-TH"/>
              </w:rPr>
              <w:t>เกณฑ์</w:t>
            </w:r>
            <w: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th-TH" w:bidi="th-TH"/>
              </w:rPr>
              <w:t>กำหนด</w:t>
            </w:r>
          </w:p>
        </w:tc>
      </w:tr>
      <w:tr w14:paraId="0C68F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388BB">
            <w:pPr>
              <w:spacing w:after="0" w:line="240" w:lineRule="auto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14034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th-TH" w:bidi="th-TH"/>
              </w:rPr>
              <w:t>จำนวน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โรงพยาบาลในจังหวัด</w:t>
            </w:r>
            <w:r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th-TH" w:bidi="th-TH"/>
              </w:rPr>
              <w:t>ทั้งหมด</w:t>
            </w:r>
            <w:r>
              <w:rPr>
                <w:rFonts w:hint="cs" w:ascii="TH SarabunPSK" w:hAnsi="TH SarabunPSK" w:cs="TH SarabunPSK"/>
                <w:spacing w:val="-8"/>
                <w:sz w:val="32"/>
                <w:szCs w:val="32"/>
                <w:cs/>
              </w:rPr>
              <w:t xml:space="preserve"> </w:t>
            </w:r>
          </w:p>
        </w:tc>
      </w:tr>
      <w:tr w14:paraId="4D015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5D93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สูตรคำนวณตัวชี้วัด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E422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ร้อยละของผู้ป่วยโรคเบาหวาน ได้รับการตรวจ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HbA1c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ซ้ำภายใน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วัน</w:t>
            </w:r>
          </w:p>
          <w:p w14:paraId="7D5BFC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(C/D) x 100</w:t>
            </w:r>
          </w:p>
        </w:tc>
      </w:tr>
      <w:tr w14:paraId="3FE25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8703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6E09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C 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จำนวนผู้ป่วยโรคเบาหวานที่ได้รับการตรวจ </w:t>
            </w:r>
            <w:r>
              <w:rPr>
                <w:rFonts w:ascii="TH SarabunPSK" w:hAnsi="TH SarabunPSK" w:cs="TH SarabunPSK"/>
                <w:sz w:val="32"/>
                <w:szCs w:val="32"/>
              </w:rPr>
              <w:t>HbA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ซ้ำภายใน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วัน</w:t>
            </w:r>
          </w:p>
        </w:tc>
      </w:tr>
      <w:tr w14:paraId="5E39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9362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EB6D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 =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จำนวนผู้ป่วยที่ได้รับการวินิจฉัยว่าเป็นโรคเบาหวานที่ได้รับการตรวจ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HbA1c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ทั้งหมด</w:t>
            </w:r>
          </w:p>
        </w:tc>
      </w:tr>
      <w:tr w14:paraId="377E5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F213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4D90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  <w:lang w:val="th-TH" w:bidi="th-TH"/>
              </w:rPr>
              <w:t xml:space="preserve">ร้อยละของผู้ป่วยโรคเบาหวาน ได้รับการตรวจ 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 xml:space="preserve">HbA1c 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  <w:lang w:val="th-TH" w:bidi="th-TH"/>
              </w:rPr>
              <w:t xml:space="preserve">อย่างน้อยปีละ 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  <w:lang w:val="th-TH" w:bidi="th-TH"/>
              </w:rPr>
              <w:t>ครั้ง</w:t>
            </w:r>
          </w:p>
          <w:p w14:paraId="47B9A1BB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(E/F) x 100</w:t>
            </w:r>
          </w:p>
        </w:tc>
      </w:tr>
      <w:tr w14:paraId="08AD4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F4C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E966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 =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จำนวนผู้ป่วยโรคเบาหวานที่ได้รับการตรวจ </w:t>
            </w:r>
            <w:r>
              <w:rPr>
                <w:rFonts w:ascii="TH SarabunPSK" w:hAnsi="TH SarabunPSK" w:cs="TH SarabunPSK"/>
                <w:sz w:val="32"/>
                <w:szCs w:val="32"/>
              </w:rPr>
              <w:t>HbA1c</w:t>
            </w:r>
          </w:p>
        </w:tc>
      </w:tr>
      <w:tr w14:paraId="37066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346C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FF5D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 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จำนวนผู้ป่วยที่ได้รับการ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ขึ้นทะเบียนว่า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เป็นโรคเบาหวานทั้งหมด</w:t>
            </w:r>
          </w:p>
        </w:tc>
      </w:tr>
      <w:tr w14:paraId="2E16E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909A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สูตรคำนวณตัวชี้วัด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86AC0">
            <w:pPr>
              <w:spacing w:after="0"/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ร้อยละของ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ผู้ป่วยโรคเบาหวาน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ได้รับการตรวจ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  <w:t>LDL</w:t>
            </w:r>
            <w:r>
              <w:rPr>
                <w:rFonts w:hint="cs" w:ascii="TH SarabunPSK" w:hAnsi="TH SarabunPSK" w:cs="TH SarabunPSK"/>
                <w:b/>
                <w:bCs/>
                <w:sz w:val="36"/>
                <w:szCs w:val="36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Cholesterol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ซ้ำภายใน 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90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วัน</w:t>
            </w:r>
          </w:p>
          <w:p w14:paraId="5A59477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(G/H) x 100</w:t>
            </w:r>
          </w:p>
        </w:tc>
      </w:tr>
      <w:tr w14:paraId="4FBA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E571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F17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G 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จำนวนผู้ป่วยโรคเบาหวานที่ได้รับการตรวจ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eastAsia="Calibri" w:cs="TH SarabunPSK"/>
                <w:sz w:val="32"/>
                <w:szCs w:val="32"/>
              </w:rPr>
              <w:t>LDL</w:t>
            </w:r>
            <w:r>
              <w:rPr>
                <w:rFonts w:hint="cs" w:ascii="TH SarabunPSK" w:hAnsi="TH SarabunPSK" w:cs="TH SarabunPSK"/>
                <w:sz w:val="36"/>
                <w:szCs w:val="36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Cholesterol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  <w:lang w:val="th-TH" w:bidi="th-TH"/>
              </w:rPr>
              <w:t xml:space="preserve">ซ้ำภายใน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</w:rPr>
              <w:t xml:space="preserve">90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  <w:lang w:val="th-TH" w:bidi="th-TH"/>
              </w:rPr>
              <w:t>วัน</w:t>
            </w:r>
          </w:p>
        </w:tc>
      </w:tr>
      <w:tr w14:paraId="7E482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7FE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AE4CC">
            <w:p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H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จำนวนผู้ป่วยโรคเบาหวานที่ได้รับการตรวจ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eastAsia="Calibri" w:cs="TH SarabunPSK"/>
                <w:sz w:val="32"/>
                <w:szCs w:val="32"/>
              </w:rPr>
              <w:t>LDL</w:t>
            </w:r>
            <w:r>
              <w:rPr>
                <w:rFonts w:hint="cs" w:ascii="TH SarabunPSK" w:hAnsi="TH SarabunPSK" w:cs="TH SarabunPSK"/>
                <w:sz w:val="36"/>
                <w:szCs w:val="36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Cholesterol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ทั้งหมด</w:t>
            </w:r>
          </w:p>
        </w:tc>
      </w:tr>
      <w:tr w14:paraId="29CD5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D6EB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สูตรคำนวณตัวชี้วัด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08206">
            <w:pPr>
              <w:spacing w:after="0"/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ร้อยละของ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ผู้ป่วยโรคเบาหวาน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ได้รับการตรวจ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  <w:t>LDL</w:t>
            </w:r>
            <w:r>
              <w:rPr>
                <w:rFonts w:hint="cs" w:ascii="TH SarabunPSK" w:hAnsi="TH SarabunPSK" w:cs="TH SarabunPSK"/>
                <w:b/>
                <w:bCs/>
                <w:sz w:val="36"/>
                <w:szCs w:val="36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Cholesterol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อย่างน้อยปีละ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1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ครั้ง</w:t>
            </w:r>
          </w:p>
          <w:p w14:paraId="537E27E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(I/J) x 100</w:t>
            </w:r>
          </w:p>
        </w:tc>
      </w:tr>
      <w:tr w14:paraId="33084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D0A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D5B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 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จำนวนผู้ป่วยโรคเบาหวานที่ได้รับการตรวจ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eastAsia="Calibri" w:cs="TH SarabunPSK"/>
                <w:sz w:val="32"/>
                <w:szCs w:val="32"/>
              </w:rPr>
              <w:t>LDL</w:t>
            </w:r>
            <w:r>
              <w:rPr>
                <w:rFonts w:hint="cs" w:ascii="TH SarabunPSK" w:hAnsi="TH SarabunPSK" w:cs="TH SarabunPSK"/>
                <w:sz w:val="36"/>
                <w:szCs w:val="36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Cholesterol</w:t>
            </w:r>
          </w:p>
        </w:tc>
      </w:tr>
      <w:tr w14:paraId="06DE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6B53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2E24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J 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จำนวนผู้ป่วยที่ได้รับการ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ขึ้นทะเบียนว่า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เป็นโรคเบาหวานทั้งหมด</w:t>
            </w:r>
          </w:p>
        </w:tc>
      </w:tr>
      <w:tr w14:paraId="6FD06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4444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78422">
            <w:pPr>
              <w:spacing w:after="0"/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ร้อยละของ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ผู้ป่วยโรคเบาหวาน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ได้รับการตรวจ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  <w:t>Creatinine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อย่างน้อยปีละ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1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ครั้ง</w:t>
            </w:r>
          </w:p>
          <w:p w14:paraId="415B8A2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(K/L) x 100</w:t>
            </w:r>
          </w:p>
        </w:tc>
      </w:tr>
      <w:tr w14:paraId="4BC90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466C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68CE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K 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จำนวนผู้ป่วยโรคเบาหวานที่ได้รับการตรวจ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eastAsia="Calibri" w:cs="TH SarabunPSK"/>
                <w:sz w:val="32"/>
                <w:szCs w:val="32"/>
              </w:rPr>
              <w:t xml:space="preserve">Creatinine </w:t>
            </w:r>
          </w:p>
        </w:tc>
      </w:tr>
      <w:tr w14:paraId="4FC08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7BF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793D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L 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จำนวนผู้ป่วยที่ได้รับการ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ขึ้นทะเบียนว่า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เป็นโรคเบาหวานทั้งหมด</w:t>
            </w:r>
          </w:p>
        </w:tc>
      </w:tr>
      <w:tr w14:paraId="03AF1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E763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788D6">
            <w:pPr>
              <w:spacing w:after="0"/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ร้อยละของ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ผู้มารับบริการ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ได้รับการตรวจ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  <w:t xml:space="preserve">Total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Cholesterol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ซ้ำภายใน 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90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วัน</w:t>
            </w:r>
          </w:p>
          <w:p w14:paraId="7E9A620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(M/N) x 100</w:t>
            </w:r>
          </w:p>
        </w:tc>
      </w:tr>
      <w:tr w14:paraId="70BAA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71FE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F43D8">
            <w:p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M =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จำนวนครั้งที่ได้รับการตรวจ </w:t>
            </w:r>
            <w:r>
              <w:rPr>
                <w:rFonts w:ascii="TH SarabunPSK" w:hAnsi="TH SarabunPSK" w:eastAsia="Calibri" w:cs="TH SarabunPSK"/>
                <w:sz w:val="32"/>
                <w:szCs w:val="32"/>
              </w:rPr>
              <w:t xml:space="preserve">Total </w:t>
            </w:r>
            <w:r>
              <w:rPr>
                <w:rFonts w:ascii="TH SarabunPSK" w:hAnsi="TH SarabunPSK" w:cs="TH SarabunPSK"/>
                <w:sz w:val="32"/>
                <w:szCs w:val="32"/>
              </w:rPr>
              <w:t>Cholesterol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  <w:lang w:val="th-TH" w:bidi="th-TH"/>
              </w:rPr>
              <w:t xml:space="preserve">ซ้ำภายใน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</w:rPr>
              <w:t xml:space="preserve">90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  <w:lang w:val="th-TH" w:bidi="th-TH"/>
              </w:rPr>
              <w:t>วัน</w:t>
            </w:r>
          </w:p>
        </w:tc>
      </w:tr>
      <w:tr w14:paraId="487E1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A4A4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169A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 =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จำนวนครั้งที่ได้รับการตรวจ </w:t>
            </w:r>
            <w:r>
              <w:rPr>
                <w:rFonts w:ascii="TH SarabunPSK" w:hAnsi="TH SarabunPSK" w:eastAsia="Calibri" w:cs="TH SarabunPSK"/>
                <w:sz w:val="32"/>
                <w:szCs w:val="32"/>
              </w:rPr>
              <w:t xml:space="preserve">Total </w:t>
            </w:r>
            <w:r>
              <w:rPr>
                <w:rFonts w:ascii="TH SarabunPSK" w:hAnsi="TH SarabunPSK" w:cs="TH SarabunPSK"/>
                <w:sz w:val="32"/>
                <w:szCs w:val="32"/>
              </w:rPr>
              <w:t>Cholesterol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ทั้งหมด</w:t>
            </w:r>
          </w:p>
        </w:tc>
      </w:tr>
      <w:tr w14:paraId="3DDA2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08FED">
            <w:pPr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สูตรคำนวณตัวชี้วัด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0244C">
            <w:pPr>
              <w:spacing w:after="0"/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ร้อยละของ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ผู้มารับบริการ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ได้รับการตรวจ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eastAsia="Calibri" w:cs="TH SarabunPSK"/>
                <w:b/>
                <w:bCs/>
                <w:sz w:val="32"/>
                <w:szCs w:val="32"/>
              </w:rPr>
              <w:t>Triglycerides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ซ้ำภายใน 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</w:rPr>
              <w:t xml:space="preserve">90 </w:t>
            </w:r>
            <w:r>
              <w:rPr>
                <w:rFonts w:hint="cs" w:ascii="TH SarabunPSK" w:hAnsi="TH SarabunPSK" w:eastAsia="Calibri" w:cs="TH SarabunPSK"/>
                <w:b/>
                <w:bCs/>
                <w:sz w:val="32"/>
                <w:szCs w:val="32"/>
                <w:cs/>
                <w:lang w:val="th-TH" w:bidi="th-TH"/>
              </w:rPr>
              <w:t>วัน</w:t>
            </w:r>
          </w:p>
          <w:p w14:paraId="156E26F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(O/P) x 100</w:t>
            </w:r>
          </w:p>
        </w:tc>
      </w:tr>
      <w:tr w14:paraId="74A79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DD4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AC79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O =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จำนวนครั้งที่ได้รับการตรวจ </w:t>
            </w:r>
            <w:r>
              <w:rPr>
                <w:rFonts w:ascii="TH SarabunPSK" w:hAnsi="TH SarabunPSK" w:eastAsia="Calibri" w:cs="TH SarabunPSK"/>
                <w:sz w:val="32"/>
                <w:szCs w:val="32"/>
              </w:rPr>
              <w:t>Triglycerides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  <w:lang w:val="th-TH" w:bidi="th-TH"/>
              </w:rPr>
              <w:t xml:space="preserve">ซ้ำภายใน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</w:rPr>
              <w:t xml:space="preserve">90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  <w:lang w:val="th-TH" w:bidi="th-TH"/>
              </w:rPr>
              <w:t>วัน</w:t>
            </w:r>
          </w:p>
        </w:tc>
      </w:tr>
      <w:tr w14:paraId="25917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B0FA2">
            <w:pPr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รายการข้อมูล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399D6">
            <w:pPr>
              <w:spacing w:after="0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P =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จำนวนครั้งที่ได้รับการตรวจ </w:t>
            </w:r>
            <w:r>
              <w:rPr>
                <w:rFonts w:ascii="TH SarabunPSK" w:hAnsi="TH SarabunPSK" w:eastAsia="Calibri" w:cs="TH SarabunPSK"/>
                <w:sz w:val="32"/>
                <w:szCs w:val="32"/>
              </w:rPr>
              <w:t xml:space="preserve">Triglycerides </w:t>
            </w:r>
            <w:r>
              <w:rPr>
                <w:rFonts w:hint="cs" w:ascii="TH SarabunPSK" w:hAnsi="TH SarabunPSK" w:eastAsia="Calibri" w:cs="TH SarabunPSK"/>
                <w:sz w:val="32"/>
                <w:szCs w:val="32"/>
                <w:cs/>
                <w:lang w:val="th-TH" w:bidi="th-TH"/>
              </w:rPr>
              <w:t>ทั้งหมด</w:t>
            </w:r>
          </w:p>
        </w:tc>
      </w:tr>
      <w:tr w14:paraId="7BD39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097B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ระยะเวลาประเมินผล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87C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ประเมินรายไตรมาส และคำนวณตามเกณฑ์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ตัวชี้วัด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เมื่อสิ้นสุดปีงบประมาณ</w:t>
            </w:r>
          </w:p>
        </w:tc>
      </w:tr>
      <w:tr w14:paraId="745D7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</w:trPr>
        <w:tc>
          <w:tcPr>
            <w:tcW w:w="10349" w:type="dxa"/>
            <w:gridSpan w:val="2"/>
          </w:tcPr>
          <w:p w14:paraId="7F16031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เกณฑ์การประเมิน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28838DD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ปีงบประมาณ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ผลการดำเนินงานเทียบค่าเป้าหมาย</w:t>
            </w:r>
          </w:p>
          <w:tbl>
            <w:tblPr>
              <w:tblStyle w:val="4"/>
              <w:tblpPr w:leftFromText="180" w:rightFromText="180" w:vertAnchor="text" w:horzAnchor="margin" w:tblpXSpec="center" w:tblpY="35"/>
              <w:tblOverlap w:val="never"/>
              <w:tblW w:w="1020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397"/>
              <w:gridCol w:w="3544"/>
              <w:gridCol w:w="3266"/>
            </w:tblGrid>
            <w:tr w14:paraId="5389C74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3397" w:type="dxa"/>
                </w:tcPr>
                <w:p w14:paraId="563DC71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6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>เดือน</w:t>
                  </w:r>
                </w:p>
              </w:tc>
              <w:tc>
                <w:tcPr>
                  <w:tcW w:w="3544" w:type="dxa"/>
                </w:tcPr>
                <w:p w14:paraId="1B0AEBC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 xml:space="preserve">รอบ 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10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>เดือน</w:t>
                  </w:r>
                </w:p>
              </w:tc>
              <w:tc>
                <w:tcPr>
                  <w:tcW w:w="3266" w:type="dxa"/>
                </w:tcPr>
                <w:p w14:paraId="0D0352BD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12</w:t>
                  </w:r>
                  <w:r>
                    <w:rPr>
                      <w:rFonts w:hint="cs"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>เดือน</w:t>
                  </w:r>
                </w:p>
              </w:tc>
            </w:tr>
            <w:tr w14:paraId="11803E5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397" w:type="dxa"/>
                </w:tcPr>
                <w:p w14:paraId="5490377D">
                  <w:pPr>
                    <w:spacing w:after="0"/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1. 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โรงพยาบาลในเขตสุขภาพ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ผ่านเกณฑ์พัฒนา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โรงพยาบาลที่มี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การตรว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จ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ทาง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ห้องปฏิบัติการอย่างสมเหตุผล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(RLU hospital Plus) 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ตามเกณฑ์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ที่กำหนด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 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  <w:t xml:space="preserve">6 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  <w:lang w:val="th-TH" w:bidi="th-TH"/>
                    </w:rPr>
                    <w:t>โรงพยาบาล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 (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  <w:t>25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0C55BAF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2.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HbA1c, LDL-Cholesterol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7</w:t>
                  </w:r>
                </w:p>
                <w:p w14:paraId="4FF370DF">
                  <w:pPr>
                    <w:spacing w:after="0"/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3.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ร้อยละของผู้ป่วยโรคเบาหวาน ได้รับการตรวจ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HbA1c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LDL-Cholesterol 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และ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Creatinine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อย่างน้อยปีละ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1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ครั้ง มากกว่าร้อยละ 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3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5</w:t>
                  </w:r>
                </w:p>
                <w:p w14:paraId="493E099B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>4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ร้อยละของผู้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มารับบริการ ได้รับการตรวจ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Total Cholesterol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และ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Triglycerides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</w:p>
                <w:p w14:paraId="4739AC6C">
                  <w:pPr>
                    <w:spacing w:after="0" w:line="240" w:lineRule="auto"/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544" w:type="dxa"/>
                </w:tcPr>
                <w:p w14:paraId="2BC8395D">
                  <w:pPr>
                    <w:spacing w:after="0"/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1. 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โรงพยาบาลในเขตสุขภาพ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ผ่านเกณฑ์พัฒนา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โรงพยาบาลที่มี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การตรว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จ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ทาง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ห้องปฏิบัติการอย่างสมเหตุผล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(RLU hospital Plus) 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ตามเกณฑ์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ที่กำหนด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 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>9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  <w:lang w:val="th-TH" w:bidi="th-TH"/>
                    </w:rPr>
                    <w:t>โรงพยาบาล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  <w:t>40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>)</w:t>
                  </w:r>
                </w:p>
                <w:p w14:paraId="220BEAD5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2.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HbA1c, LDL-Cholesterol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6</w:t>
                  </w:r>
                </w:p>
                <w:p w14:paraId="39078B4E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3.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ไ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ด้รับการตรวจ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HbA1c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LDL-Cholesterol 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และ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Creatinine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อย่างน้อยปีละ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1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ครั้ง มากกว่าร้อยละ 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60</w:t>
                  </w:r>
                </w:p>
                <w:p w14:paraId="0A988095">
                  <w:pPr>
                    <w:spacing w:after="0" w:line="240" w:lineRule="auto"/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>4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  <w:t>.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ร้อยละของผู้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มารับบริการ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Total Cholesterol 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และ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Triglycerides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3266" w:type="dxa"/>
                </w:tcPr>
                <w:p w14:paraId="5334E1CF">
                  <w:pPr>
                    <w:spacing w:after="0"/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1. 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โรงพยาบาลในเขตสุขภาพ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ผ่านเกณฑ์พัฒนา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โรงพยาบาลที่มี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การตรว</w:t>
                  </w:r>
                  <w:r>
                    <w:rPr>
                      <w:rFonts w:hint="cs"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จ</w:t>
                  </w:r>
                  <w:r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  <w:lang w:val="th-TH" w:bidi="th-TH"/>
                    </w:rPr>
                    <w:t>ทาง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ห้องปฏิบัติการอย่างสมเหตุผล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(RLU hospital Plus) 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ตามเกณฑ์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ที่กำหนด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 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>11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  <w:lang w:val="th-TH" w:bidi="th-TH"/>
                    </w:rPr>
                    <w:t>โรงพยาบาล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 (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 5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  <w:t>0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>)</w:t>
                  </w:r>
                </w:p>
                <w:p w14:paraId="2EC79FDC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2.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HbA1c, LDL-Cholesterol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3B4C96B6">
                  <w:pPr>
                    <w:spacing w:after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5</w:t>
                  </w:r>
                </w:p>
                <w:p w14:paraId="043E8B27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3.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ไ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ด้รับการตรวจ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HbA1c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,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LDL-Cholesterol 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และ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Creatinine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E6D1222">
                  <w:pPr>
                    <w:spacing w:after="0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อย่างน้อยปีละ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1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ครั้ง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มากกว่าร้อยละ 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70</w:t>
                  </w:r>
                </w:p>
                <w:p w14:paraId="17898356">
                  <w:pPr>
                    <w:spacing w:after="0" w:line="240" w:lineRule="auto"/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>4</w:t>
                  </w:r>
                  <w:r>
                    <w:rPr>
                      <w:rFonts w:ascii="TH SarabunPSK" w:hAnsi="TH SarabunPSK" w:eastAsia="Times New Roman" w:cs="TH SarabunPSK"/>
                      <w:kern w:val="24"/>
                      <w:sz w:val="32"/>
                      <w:szCs w:val="32"/>
                    </w:rPr>
                    <w:t>.</w:t>
                  </w:r>
                  <w:r>
                    <w:rPr>
                      <w:rFonts w:hint="cs" w:ascii="TH SarabunPSK" w:hAnsi="TH SarabunPSK" w:eastAsia="Times New Roman" w:cs="TH SarabunPSK"/>
                      <w:kern w:val="24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ร้อยละของผู้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มารับบริการ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Total Cholesterol 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และ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Triglycerides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3F211CD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14:paraId="5B27E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20C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วิธีการประเมินผล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5493F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 xml:space="preserve">ระดับโรงพยาบาล </w:t>
            </w:r>
          </w:p>
          <w:p w14:paraId="4CE7D81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มีระบบ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RLU Hospital Plus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ตามแนวทางบันได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ขั้น</w:t>
            </w:r>
          </w:p>
          <w:p w14:paraId="3EF51AFC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จัดทำ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Self-assessment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ประเมินผลดำเนินงานตามบันได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ขั้น ด้วยตนเอง พร้อมแนบหลักฐาน ผ่านระบบ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e-Report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บนเว็บไซต์ </w:t>
            </w:r>
            <w:r>
              <w:fldChar w:fldCharType="begin"/>
            </w:r>
            <w:r>
              <w:instrText xml:space="preserve"> HYPERLINK "http://www.rluthailand.com" </w:instrText>
            </w:r>
            <w:r>
              <w:fldChar w:fldCharType="separate"/>
            </w:r>
            <w:r>
              <w:rPr>
                <w:rStyle w:val="7"/>
                <w:rFonts w:ascii="TH SarabunPSK" w:hAnsi="TH SarabunPSK" w:cs="TH SarabunPSK"/>
                <w:sz w:val="32"/>
                <w:szCs w:val="32"/>
              </w:rPr>
              <w:t>www.rluthailand.com</w:t>
            </w:r>
            <w:r>
              <w:rPr>
                <w:rStyle w:val="7"/>
                <w:rFonts w:ascii="TH SarabunPSK" w:hAnsi="TH SarabunPSK" w:cs="TH SarabunPSK"/>
                <w:sz w:val="32"/>
                <w:szCs w:val="32"/>
              </w:rPr>
              <w:fldChar w:fldCharType="end"/>
            </w:r>
          </w:p>
          <w:p w14:paraId="5E73206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>ระดับจังหวัด</w:t>
            </w:r>
          </w:p>
          <w:p w14:paraId="63488DF8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1) External approved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ประเมินผลการเป็น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RLU Hospital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Plus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ตามบันได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ขั้น ของรพ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แต่ละแห่งภายในจังหวัด โดยจัดผู้เยี่ยมสำรวจจากรพ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อื่น สสจ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หรือศวก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ซึ่งเป็นผู้ที่ผ่านการอบรมหลักสูตร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RLU Surveyor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จากกรมวิทยาศาสตร์การแพทย์ โดยสามารถเลือกวิธีการประเมินจากเอกสารหลักฐานใน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e-Report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หรือประเมินแบบ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On-site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ก็ได้ตามความเหมาะสม</w:t>
            </w:r>
          </w:p>
          <w:p w14:paraId="608DCD1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>ระดับศูนย์วิทยาศาสตร์การแพทย์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/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>ผู้นิเทศ</w:t>
            </w:r>
          </w:p>
          <w:p w14:paraId="126F8402">
            <w:pPr>
              <w:spacing w:after="0" w:line="240" w:lineRule="auto"/>
              <w:jc w:val="thaiDistribute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สุ่มตรวจผล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External approved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ของ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RLU Surveyor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แต่ละจังหวัด ไม่น้อยกว่าร้อยละ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</w:tr>
      <w:tr w14:paraId="4F9B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C67F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 xml:space="preserve">เอกสารสนับสนุน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BBC5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โปรแกรมที่เกี่ยวข้อง </w:t>
            </w:r>
          </w:p>
          <w:p w14:paraId="109C19F0">
            <w:pPr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RLU KPI Monitor 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คู่มือการติดตั้ง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14:paraId="4C36F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3A51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รายละเอียดข้อมูลพื้นฐาน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tbl>
            <w:tblPr>
              <w:tblStyle w:val="4"/>
              <w:tblW w:w="0" w:type="auto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46"/>
              <w:gridCol w:w="993"/>
              <w:gridCol w:w="1275"/>
              <w:gridCol w:w="1418"/>
              <w:gridCol w:w="1369"/>
            </w:tblGrid>
            <w:tr w14:paraId="3D9C0EB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  <w:vMerge w:val="restart"/>
                </w:tcPr>
                <w:p w14:paraId="294253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3" w:type="dxa"/>
                  <w:vMerge w:val="restart"/>
                </w:tcPr>
                <w:p w14:paraId="7089588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>หน่วยวัด</w:t>
                  </w:r>
                </w:p>
              </w:tc>
              <w:tc>
                <w:tcPr>
                  <w:tcW w:w="4062" w:type="dxa"/>
                  <w:gridSpan w:val="3"/>
                </w:tcPr>
                <w:p w14:paraId="6015C10E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>ผลการดำเนินงานในรอบปีงบประมาณ พ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 w:bidi="th-TH"/>
                    </w:rPr>
                    <w:t>ศ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</w:tc>
            </w:tr>
            <w:tr w14:paraId="6DD903DD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  <w:vMerge w:val="continue"/>
                </w:tcPr>
                <w:p w14:paraId="26EDCAD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93" w:type="dxa"/>
                  <w:vMerge w:val="continue"/>
                </w:tcPr>
                <w:p w14:paraId="0B8B68B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5" w:type="dxa"/>
                </w:tcPr>
                <w:p w14:paraId="7E3CAFF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418" w:type="dxa"/>
                </w:tcPr>
                <w:p w14:paraId="793834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369" w:type="dxa"/>
                </w:tcPr>
                <w:p w14:paraId="7C3A90F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</w:tr>
            <w:tr w14:paraId="6E1C0BE2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</w:tcPr>
                <w:p w14:paraId="397619EA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จำนวนโรงพยาบาล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ที่ผ่านตามเกณฑ์พัฒนาสู่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โรงพยาบาล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ที่มีการตรวจทางห้องปฏิบัติการทางการแพทย์อย่างสมเหตุผล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RLU hospital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993" w:type="dxa"/>
                </w:tcPr>
                <w:p w14:paraId="02CCFDC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จำนวน</w:t>
                  </w:r>
                </w:p>
              </w:tc>
              <w:tc>
                <w:tcPr>
                  <w:tcW w:w="1275" w:type="dxa"/>
                </w:tcPr>
                <w:p w14:paraId="0D2F7D2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71E00E5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69" w:type="dxa"/>
                </w:tcPr>
                <w:p w14:paraId="3B9214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13</w:t>
                  </w:r>
                </w:p>
              </w:tc>
            </w:tr>
            <w:tr w14:paraId="39664FB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</w:tcPr>
                <w:p w14:paraId="427B2213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ร้อยละของผู้ป่วยโรคเบาหวาน ได้รับการตรวจ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HbA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c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ซ้ำภายใน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วัน ไม่เกินร้อยละ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993" w:type="dxa"/>
                </w:tcPr>
                <w:p w14:paraId="08D6FE8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275" w:type="dxa"/>
                </w:tcPr>
                <w:p w14:paraId="3AEE7F4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6A953CD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4.00</w:t>
                  </w:r>
                </w:p>
              </w:tc>
              <w:tc>
                <w:tcPr>
                  <w:tcW w:w="1369" w:type="dxa"/>
                </w:tcPr>
                <w:p w14:paraId="7A4B64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3.64</w:t>
                  </w:r>
                </w:p>
              </w:tc>
            </w:tr>
            <w:tr w14:paraId="630CA6EA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</w:tcPr>
                <w:p w14:paraId="0F9F5A7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ร้อยละของผู้ป่วยโรคเบาหวาน ได้รับการตรวจ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HbA1c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อย่างน้อย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ปีละ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ครั้ง มากกว่าร้อยละ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993" w:type="dxa"/>
                </w:tcPr>
                <w:p w14:paraId="6F5E4CD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275" w:type="dxa"/>
                </w:tcPr>
                <w:p w14:paraId="0FB6A42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6CC35F8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66.05</w:t>
                  </w:r>
                </w:p>
              </w:tc>
              <w:tc>
                <w:tcPr>
                  <w:tcW w:w="1369" w:type="dxa"/>
                </w:tcPr>
                <w:p w14:paraId="1E349A3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69.84</w:t>
                  </w:r>
                </w:p>
              </w:tc>
            </w:tr>
            <w:tr w14:paraId="3C87C907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</w:tcPr>
                <w:p w14:paraId="388BD8D1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ผู้ป่วยโรคเบาหวาน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ได้รับการตรวจ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LDL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Cholesterol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993" w:type="dxa"/>
                </w:tcPr>
                <w:p w14:paraId="68099CB8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275" w:type="dxa"/>
                </w:tcPr>
                <w:p w14:paraId="53CE340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28AEF40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69" w:type="dxa"/>
                </w:tcPr>
                <w:p w14:paraId="5AD51B5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14:paraId="0FACEDBB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</w:tcPr>
                <w:p w14:paraId="228FD3A7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ร้อยละของผู้ป่วยโรคเบาหวาน ได้รับการตรวจ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LDL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Cholesterol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อย่างน้อยปีละ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1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ครั้ง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มากกว่าร้อยละ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7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993" w:type="dxa"/>
                </w:tcPr>
                <w:p w14:paraId="02B76ED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275" w:type="dxa"/>
                </w:tcPr>
                <w:p w14:paraId="5224A27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6278D5E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69" w:type="dxa"/>
                </w:tcPr>
                <w:p w14:paraId="50B3756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14:paraId="40242BE1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</w:tcPr>
                <w:p w14:paraId="6987E206">
                  <w:pPr>
                    <w:spacing w:after="0" w:line="240" w:lineRule="auto"/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ร้อยละของผู้ป่วยโรคเบาหวาน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Creatinine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อย่างน้อยปีละ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1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ครั้ง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มากกว่าร้อยละ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</w:rPr>
                    <w:t>7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993" w:type="dxa"/>
                </w:tcPr>
                <w:p w14:paraId="1CF6E6D5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275" w:type="dxa"/>
                </w:tcPr>
                <w:p w14:paraId="47024D60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3E5F271A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69" w:type="dxa"/>
                </w:tcPr>
                <w:p w14:paraId="636BF85E">
                  <w:pPr>
                    <w:spacing w:after="0" w:line="240" w:lineRule="auto"/>
                    <w:jc w:val="center"/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14:paraId="4845B2A5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</w:tcPr>
                <w:p w14:paraId="38D591BC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>ร้อยละของ</w:t>
                  </w: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  <w:lang w:val="th-TH" w:bidi="th-TH"/>
                    </w:rPr>
                    <w:t xml:space="preserve">ผู้มารับบริการ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ได้รับการตรวจ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>Total Cholesterol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 xml:space="preserve">ซ้ำภายใน 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hint="cs" w:ascii="TH SarabunPSK" w:hAnsi="TH SarabunPSK" w:eastAsia="Calibri" w:cs="TH SarabunPSK"/>
                      <w:sz w:val="32"/>
                      <w:szCs w:val="32"/>
                      <w:cs/>
                      <w:lang w:val="th-TH" w:bidi="th-TH"/>
                    </w:rPr>
                    <w:t>วัน</w:t>
                  </w:r>
                  <w:r>
                    <w:rPr>
                      <w:rFonts w:ascii="TH SarabunPSK" w:hAnsi="TH SarabunPSK" w:eastAsia="Calibri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eastAsia="Calibri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ไม่เกินร้อยละ </w:t>
                  </w:r>
                  <w:r>
                    <w:rPr>
                      <w:rFonts w:hint="cs" w:ascii="TH SarabunPSK" w:hAnsi="TH SarabunPSK" w:eastAsia="Calibri" w:cs="TH SarabunPSK"/>
                      <w:spacing w:val="-6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993" w:type="dxa"/>
                </w:tcPr>
                <w:p w14:paraId="744499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275" w:type="dxa"/>
                </w:tcPr>
                <w:p w14:paraId="06B0C46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466B188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69" w:type="dxa"/>
                </w:tcPr>
                <w:p w14:paraId="1599CC7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  <w:tr w14:paraId="0123D534"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046" w:type="dxa"/>
                </w:tcPr>
                <w:p w14:paraId="3105E8B4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ร้อยละของผู้มารับบริการ ได้รับการตรวจ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Triglycerides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br w:type="textWrapping"/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ซ้ำภายใน 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 xml:space="preserve">90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 xml:space="preserve">วัน ไม่เกินร้อยละ 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993" w:type="dxa"/>
                </w:tcPr>
                <w:p w14:paraId="4ABD1D5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>
                    <w:rPr>
                      <w:rFonts w:hint="cs" w:ascii="TH SarabunPSK" w:hAnsi="TH SarabunPSK" w:cs="TH SarabunPSK"/>
                      <w:spacing w:val="-6"/>
                      <w:sz w:val="32"/>
                      <w:szCs w:val="32"/>
                      <w:cs/>
                      <w:lang w:val="th-TH" w:bidi="th-TH"/>
                    </w:rPr>
                    <w:t>ร้อยละ</w:t>
                  </w:r>
                </w:p>
              </w:tc>
              <w:tc>
                <w:tcPr>
                  <w:tcW w:w="1275" w:type="dxa"/>
                </w:tcPr>
                <w:p w14:paraId="541AF47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14:paraId="2922122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369" w:type="dxa"/>
                </w:tcPr>
                <w:p w14:paraId="1B1EA16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hint="cs"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4500D6A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14:paraId="41FA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3D311">
            <w:pPr>
              <w:spacing w:after="0" w:line="240" w:lineRule="auto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ผู้รับผิดชอบการรายงานผลการดำเนินงาน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 w:type="textWrapping"/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ตัวชี้วัด</w:t>
            </w:r>
          </w:p>
        </w:tc>
        <w:tc>
          <w:tcPr>
            <w:tcW w:w="8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6EE6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นายอัครวัฒน์  ตะภูเขียว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นักสาธารณสุขชำนาญการ</w:t>
            </w:r>
          </w:p>
          <w:p w14:paraId="6FD468D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โทรศัพท์ที่ทำงาน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042 - 222356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ต่อ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322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โทรศัพท์มือถือ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0897119197</w:t>
            </w:r>
          </w:p>
          <w:p w14:paraId="42C7CDC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โทรสาร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-</w:t>
            </w:r>
          </w:p>
          <w:p w14:paraId="03146F3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กลุ่มงานพัฒนาคุณภาพและรูปแบบบริการ สำนักงานสาธารณสุขจังหวัดอุดรธานี</w:t>
            </w:r>
          </w:p>
        </w:tc>
      </w:tr>
    </w:tbl>
    <w:p w14:paraId="16E9E1D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35BBE76">
      <w:pPr>
        <w:spacing w:after="200" w:line="276" w:lineRule="auto"/>
        <w:rPr>
          <w:rFonts w:ascii="TH SarabunPSK" w:hAnsi="TH SarabunPSK" w:cs="TH SarabunPSK"/>
          <w:sz w:val="32"/>
          <w:szCs w:val="32"/>
        </w:rPr>
        <w:sectPr>
          <w:headerReference r:id="rId5" w:type="default"/>
          <w:pgSz w:w="11906" w:h="16838"/>
          <w:pgMar w:top="851" w:right="851" w:bottom="851" w:left="851" w:header="709" w:footer="709" w:gutter="0"/>
          <w:cols w:space="708" w:num="1"/>
          <w:docGrid w:linePitch="360" w:charSpace="0"/>
        </w:sect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1869ADCB">
      <w:pPr>
        <w:spacing w:after="200" w:line="276" w:lineRule="auto"/>
        <w:rPr>
          <w:rFonts w:ascii="TH SarabunPSK" w:hAnsi="TH SarabunPSK" w:cs="TH SarabunPSK"/>
          <w:sz w:val="32"/>
          <w:szCs w:val="32"/>
        </w:rPr>
      </w:pPr>
    </w:p>
    <w:p w14:paraId="1875C3AF">
      <w:pPr>
        <w:rPr>
          <w:rFonts w:hint="cs" w:ascii="TH SarabunPSK" w:hAnsi="TH SarabunPSK" w:cs="TH SarabunPSK"/>
          <w:b/>
          <w:bCs/>
          <w:sz w:val="32"/>
          <w:szCs w:val="32"/>
          <w:cs/>
        </w:rPr>
      </w:pP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เกณฑ์การประเมินผลเชิงคุณภาพ 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hint="cs" w:ascii="TH SarabunPSK" w:hAnsi="TH SarabunPSK" w:cs="TH SarabunPSK"/>
          <w:b/>
          <w:bCs/>
          <w:sz w:val="32"/>
          <w:szCs w:val="32"/>
        </w:rPr>
        <w:t>RLU hospital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Plus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969"/>
        <w:gridCol w:w="6379"/>
        <w:gridCol w:w="1559"/>
        <w:gridCol w:w="1533"/>
      </w:tblGrid>
      <w:tr w14:paraId="4EB6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</w:tcPr>
          <w:p w14:paraId="5A69438E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bookmarkStart w:id="1" w:name="_Hlk217651325"/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ลำดับ</w:t>
            </w:r>
          </w:p>
        </w:tc>
        <w:tc>
          <w:tcPr>
            <w:tcW w:w="3969" w:type="dxa"/>
            <w:vMerge w:val="restart"/>
          </w:tcPr>
          <w:p w14:paraId="78E0DD5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รายการ</w:t>
            </w:r>
          </w:p>
        </w:tc>
        <w:tc>
          <w:tcPr>
            <w:tcW w:w="6379" w:type="dxa"/>
            <w:vMerge w:val="restart"/>
          </w:tcPr>
          <w:p w14:paraId="65998CA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หลักฐาน</w:t>
            </w:r>
          </w:p>
        </w:tc>
        <w:tc>
          <w:tcPr>
            <w:tcW w:w="3092" w:type="dxa"/>
            <w:gridSpan w:val="2"/>
          </w:tcPr>
          <w:p w14:paraId="6D572B31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การประเมิน</w:t>
            </w:r>
          </w:p>
        </w:tc>
      </w:tr>
      <w:tr w14:paraId="4C21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677DF09A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 w:val="continue"/>
          </w:tcPr>
          <w:p w14:paraId="65842833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9" w:type="dxa"/>
            <w:vMerge w:val="continue"/>
          </w:tcPr>
          <w:p w14:paraId="1A0707B8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8C5808D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คะแนนเต็ม</w:t>
            </w:r>
          </w:p>
        </w:tc>
        <w:tc>
          <w:tcPr>
            <w:tcW w:w="1533" w:type="dxa"/>
          </w:tcPr>
          <w:p w14:paraId="1ABFD37F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คะแนนที่ได้</w:t>
            </w:r>
          </w:p>
        </w:tc>
      </w:tr>
      <w:tr w14:paraId="7A455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7" w:type="dxa"/>
            <w:gridSpan w:val="3"/>
          </w:tcPr>
          <w:p w14:paraId="3F31F3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 xml:space="preserve">บันไดขั้นที่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u w:val="single"/>
              </w:rPr>
              <w:t xml:space="preserve">1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 xml:space="preserve">กรรมการ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u w:val="single"/>
              </w:rPr>
              <w:t>RLU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u w:val="single"/>
                <w:cs/>
                <w:lang w:val="th-TH" w:bidi="th-TH"/>
              </w:rPr>
              <w:t xml:space="preserve">คะแนนรวม </w:t>
            </w: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20</w:t>
            </w:r>
          </w:p>
        </w:tc>
        <w:tc>
          <w:tcPr>
            <w:tcW w:w="1559" w:type="dxa"/>
          </w:tcPr>
          <w:p w14:paraId="66463D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3" w:type="dxa"/>
          </w:tcPr>
          <w:p w14:paraId="3FCD71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14:paraId="4A0F2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42527E2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1.1</w:t>
            </w:r>
          </w:p>
        </w:tc>
        <w:tc>
          <w:tcPr>
            <w:tcW w:w="3969" w:type="dxa"/>
          </w:tcPr>
          <w:p w14:paraId="513771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</w:rPr>
              <w:t xml:space="preserve">1.1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แต่งตั้งคณะกรรมการ </w:t>
            </w:r>
            <w:r>
              <w:rPr>
                <w:rFonts w:hint="cs" w:ascii="TH SarabunPSK" w:hAnsi="TH SarabunPSK" w:cs="TH SarabunPSK"/>
                <w:sz w:val="32"/>
                <w:szCs w:val="32"/>
              </w:rPr>
              <w:t xml:space="preserve">RLU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และแต่งตั้งผู้รับผิดชอบหลัก </w:t>
            </w:r>
            <w:r>
              <w:rPr>
                <w:rFonts w:hint="cs" w:ascii="TH SarabunPSK" w:hAnsi="TH SarabunPSK" w:cs="TH SarabunPSK"/>
                <w:sz w:val="32"/>
                <w:szCs w:val="32"/>
              </w:rPr>
              <w:t>(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อาจเรียกว่า </w:t>
            </w:r>
            <w:r>
              <w:rPr>
                <w:rFonts w:hint="cs" w:ascii="TH SarabunPSK" w:hAnsi="TH SarabunPSK" w:cs="TH SarabunPSK"/>
                <w:sz w:val="32"/>
                <w:szCs w:val="32"/>
              </w:rPr>
              <w:t xml:space="preserve">Mr. RLU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หรือ </w:t>
            </w:r>
            <w:r>
              <w:rPr>
                <w:rFonts w:hint="cs" w:ascii="TH SarabunPSK" w:hAnsi="TH SarabunPSK" w:cs="TH SarabunPSK"/>
                <w:sz w:val="32"/>
                <w:szCs w:val="32"/>
              </w:rPr>
              <w:t xml:space="preserve">RLU coordinator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ฯลฯ</w:t>
            </w:r>
            <w:r>
              <w:rPr>
                <w:rFonts w:hint="cs"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6379" w:type="dxa"/>
          </w:tcPr>
          <w:p w14:paraId="3D4C7F9E">
            <w:pPr>
              <w:numPr>
                <w:ilvl w:val="2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(The Must)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มีคำสั่งแต่งตั้งกรรมการ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RLU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ที่เป็นสหสาขาวิชาชีพที่ลงนามโดย ผู้อำนวยการโรงพยาบาล หรือ ผู้บริหารสูงสุด</w:t>
            </w:r>
          </w:p>
          <w:p w14:paraId="3AC8AD9C">
            <w:pPr>
              <w:numPr>
                <w:ilvl w:val="2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สหสาขาวิชาชีพ อย่างน้อยควรประกอบด้วย ผู้อำนวยการโรงพยาบาล หรือ ผู้บริหารสูงสุด แพทย์ พยาบาล นักเทคนิคการแพทย์ นักคอมพิวเตอร์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อาจแต่งตั้งโดยตำแหน่งได้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 w14:paraId="7F005022">
            <w:pPr>
              <w:numPr>
                <w:ilvl w:val="2"/>
                <w:numId w:val="2"/>
              </w:numPr>
              <w:spacing w:after="0" w:line="240" w:lineRule="auto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รายชื่อกรรมการ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RLU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ยังปฏิบัติงานอยู่ในโรงพยาบาล ณ ปัจจุบัน</w:t>
            </w:r>
          </w:p>
        </w:tc>
        <w:tc>
          <w:tcPr>
            <w:tcW w:w="1559" w:type="dxa"/>
          </w:tcPr>
          <w:p w14:paraId="4AF9DA6D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44AD2D67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4C1C71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3A0E0F51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1DBAA7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2E553A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533" w:type="dxa"/>
          </w:tcPr>
          <w:p w14:paraId="1CDF628A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38DD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6D634D9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14:paraId="42BBDF8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79" w:type="dxa"/>
          </w:tcPr>
          <w:p w14:paraId="403EA276">
            <w:pPr>
              <w:numPr>
                <w:ilvl w:val="2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มีคำสั่งแต่งตั้งผู้รับผิดชอบหลักหรือผู้ประสานงานด้าน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RLU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ที่ลงนามโดยผู้อำนวยการโรงพยาบาล หรือ ผู้บริหารสูงสุด โดยอาจแยกหรือรวมในคำสั่ง กรรมการ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RLU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ก็ได้</w:t>
            </w:r>
          </w:p>
          <w:p w14:paraId="3DEB5837">
            <w:pPr>
              <w:numPr>
                <w:ilvl w:val="2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ระบุบทบาท หน้าที่ของ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Mr. RLU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ให้ชัดเจน เช่น เป็นผู้รับผิดชอบหลักดังนี้</w:t>
            </w:r>
          </w:p>
          <w:p w14:paraId="08A41D89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จัดทำแผน</w:t>
            </w:r>
          </w:p>
          <w:p w14:paraId="1B0DC54C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กำกับติดตาม </w:t>
            </w:r>
          </w:p>
          <w:p w14:paraId="7A56B4BF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ประสานงาน </w:t>
            </w:r>
          </w:p>
          <w:p w14:paraId="400968C5">
            <w:pPr>
              <w:pStyle w:val="9"/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สื่อสารผลการดำเนินงานต่อผู้บริหารระดับสูง และผู้เกี่ยวข้อง</w:t>
            </w:r>
          </w:p>
          <w:p w14:paraId="51A4C31A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EB31A04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0FFF8DF3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DA129B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C38476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5E80FCBD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3" w:type="dxa"/>
          </w:tcPr>
          <w:p w14:paraId="2392D15E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bookmarkEnd w:id="1"/>
    </w:tbl>
    <w:p w14:paraId="13A9E820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9BB5418">
      <w:pPr>
        <w:rPr>
          <w:rFonts w:hint="cs" w:ascii="TH SarabunPSK" w:hAnsi="TH SarabunPSK" w:cs="TH SarabunPSK"/>
          <w:b/>
          <w:bCs/>
          <w:sz w:val="32"/>
          <w:szCs w:val="32"/>
        </w:rPr>
      </w:pPr>
    </w:p>
    <w:p w14:paraId="04594693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828"/>
        <w:gridCol w:w="6520"/>
        <w:gridCol w:w="1559"/>
        <w:gridCol w:w="1533"/>
      </w:tblGrid>
      <w:tr w14:paraId="128AA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</w:tcPr>
          <w:p w14:paraId="21DEDDF7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ลำดับ</w:t>
            </w:r>
          </w:p>
        </w:tc>
        <w:tc>
          <w:tcPr>
            <w:tcW w:w="3828" w:type="dxa"/>
            <w:vMerge w:val="restart"/>
          </w:tcPr>
          <w:p w14:paraId="7DF60B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รายการ</w:t>
            </w:r>
          </w:p>
        </w:tc>
        <w:tc>
          <w:tcPr>
            <w:tcW w:w="6520" w:type="dxa"/>
            <w:vMerge w:val="restart"/>
          </w:tcPr>
          <w:p w14:paraId="6321EF8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หลักฐาน</w:t>
            </w:r>
          </w:p>
        </w:tc>
        <w:tc>
          <w:tcPr>
            <w:tcW w:w="3092" w:type="dxa"/>
            <w:gridSpan w:val="2"/>
          </w:tcPr>
          <w:p w14:paraId="27EEE317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การประเมิน</w:t>
            </w:r>
          </w:p>
        </w:tc>
      </w:tr>
      <w:tr w14:paraId="392CB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6B9DFE50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8" w:type="dxa"/>
            <w:vMerge w:val="continue"/>
          </w:tcPr>
          <w:p w14:paraId="2732460A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20" w:type="dxa"/>
            <w:vMerge w:val="continue"/>
          </w:tcPr>
          <w:p w14:paraId="4EB5B497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BDDDF38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คะแนนเต็ม</w:t>
            </w:r>
          </w:p>
        </w:tc>
        <w:tc>
          <w:tcPr>
            <w:tcW w:w="1533" w:type="dxa"/>
          </w:tcPr>
          <w:p w14:paraId="79C9436D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คะแนนที่ได้</w:t>
            </w:r>
          </w:p>
        </w:tc>
      </w:tr>
      <w:tr w14:paraId="2179B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1C22296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14:paraId="113AB7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</w:tcPr>
          <w:p w14:paraId="1F4B78B0">
            <w:pPr>
              <w:numPr>
                <w:ilvl w:val="2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มีรายงานการประชุม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มติ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และการนำไปปฏิบัติ</w:t>
            </w:r>
            <w:r>
              <w:rPr>
                <w:rFonts w:hint="cs" w:ascii="TH SarabunPSK" w:hAnsi="TH SarabunPSK" w:cs="TH SarabunPSK"/>
                <w:color w:val="000000" w:themeColor="text1"/>
                <w:sz w:val="36"/>
                <w:szCs w:val="36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D61BE72">
            <w:pPr>
              <w:numPr>
                <w:ilvl w:val="2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มีการประชุม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อย่างน้อย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เดือน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ครั้ง</w:t>
            </w:r>
          </w:p>
          <w:p w14:paraId="19D3F255">
            <w:pPr>
              <w:numPr>
                <w:ilvl w:val="2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รูปแบบรายงานการประชุมให้เป็นไปตามระเบียบสารบรรณ ต้องมีรายละเอียดประกอบไปด้วย วัน เดือน ปี และสถานที่ประชุม ชื่อผู้เข้าร่วมประชุม มติจากการประชุม ผู้บันทึก ผู้ตรวจสอบรายงานการประชุม</w:t>
            </w:r>
          </w:p>
          <w:p w14:paraId="73047553">
            <w:pPr>
              <w:numPr>
                <w:ilvl w:val="2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มติจากการประชุม ต้องระบุผู้รับผิดชอบ และกำหนดระยะเวลาดำเนินการอย่างชัดเจน</w:t>
            </w:r>
          </w:p>
          <w:p w14:paraId="0D15F82D">
            <w:pPr>
              <w:numPr>
                <w:ilvl w:val="2"/>
                <w:numId w:val="2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วาระการประชุม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ควร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ประกอบด้วย</w:t>
            </w:r>
          </w:p>
          <w:p w14:paraId="1EDE961D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การวิเคราะห์ข้อมูล </w:t>
            </w:r>
          </w:p>
          <w:p w14:paraId="5C31A01D">
            <w:pPr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การเลือกการทดสอบ  </w:t>
            </w:r>
          </w:p>
          <w:p w14:paraId="0349D680">
            <w:pPr>
              <w:pStyle w:val="9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การประเมินผล</w:t>
            </w:r>
          </w:p>
        </w:tc>
        <w:tc>
          <w:tcPr>
            <w:tcW w:w="1559" w:type="dxa"/>
          </w:tcPr>
          <w:p w14:paraId="0BB1AFA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  <w:p w14:paraId="11C4319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  <w:p w14:paraId="62CAAD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  <w:p w14:paraId="4836E82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8C251C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9D9C77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</w:t>
            </w:r>
          </w:p>
          <w:p w14:paraId="4339DAC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B69F9A">
            <w:pPr>
              <w:jc w:val="center"/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33" w:type="dxa"/>
          </w:tcPr>
          <w:p w14:paraId="7315AC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14:paraId="72922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</w:tcPr>
          <w:p w14:paraId="56BC92D7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1.2</w:t>
            </w:r>
          </w:p>
        </w:tc>
        <w:tc>
          <w:tcPr>
            <w:tcW w:w="3828" w:type="dxa"/>
            <w:vMerge w:val="restart"/>
          </w:tcPr>
          <w:p w14:paraId="1B5A2743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 xml:space="preserve">จัดทำประกาศเจตนารมณ์มุ่งสู่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RLU Hospital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 w:bidi="th-TH"/>
              </w:rPr>
              <w:t>ที่ลงนามโดยผู้อำนวยการโรงพยาบาล</w:t>
            </w:r>
          </w:p>
        </w:tc>
        <w:tc>
          <w:tcPr>
            <w:tcW w:w="6520" w:type="dxa"/>
          </w:tcPr>
          <w:p w14:paraId="173E25F2">
            <w:pPr>
              <w:spacing w:after="0" w:line="240" w:lineRule="auto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1.2.1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มีประกาศเจตนารมณ์หรือนโยบาย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RLU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ที่ผู้อำนวยการโรงพยาบาล หรือ ผู้บริหารสูงสุด ลงนามเป็นลายลักษณ์อักษร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ประกาศเจตนารมณ์ นโยบาย แนวทางปฏิบัติ และตัวชี้วัด อาจประกาศแยกหรือรวมกันก็ได้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559" w:type="dxa"/>
          </w:tcPr>
          <w:p w14:paraId="46428610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33" w:type="dxa"/>
          </w:tcPr>
          <w:p w14:paraId="011DE2CB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2319B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6B7F75D9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vMerge w:val="continue"/>
          </w:tcPr>
          <w:p w14:paraId="13D8F6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</w:tcPr>
          <w:p w14:paraId="2514A5C2">
            <w:pPr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1.2.2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มีหลักฐานการสื่อสาร ที่ผู้เกี่ยวข้องรับทราบ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การสื่อสารอาจไม่จำเป็นต้องลงนามรับทราบ แต่ต้องให้มั่นใจได้ว่าผู้เกี่ยวข้องทั้งหมดได้รับทราบ โดยการสื่อสารอาจรวมถึง การแจ้งหนังสือเวียน การแจ้งผ่านสื่อสังคมออนไลน์ เช่น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line, email, website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ของโรงพยาบาล ฯลฯ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559" w:type="dxa"/>
          </w:tcPr>
          <w:p w14:paraId="2427D347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33" w:type="dxa"/>
          </w:tcPr>
          <w:p w14:paraId="26E10F6E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5D15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68E4E5D5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  <w:vMerge w:val="continue"/>
          </w:tcPr>
          <w:p w14:paraId="3051FC8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</w:tcPr>
          <w:p w14:paraId="54510927">
            <w:pPr>
              <w:spacing w:after="0" w:line="240" w:lineRule="auto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1.2.3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มีการรับรู้เจตนารมณ์หรือนโยบายของผู้ปฏิบัติที่เกี่ยวข้อง</w:t>
            </w:r>
          </w:p>
        </w:tc>
        <w:tc>
          <w:tcPr>
            <w:tcW w:w="1559" w:type="dxa"/>
          </w:tcPr>
          <w:p w14:paraId="43D8F5A9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33" w:type="dxa"/>
          </w:tcPr>
          <w:p w14:paraId="75551BB9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BCF0A2B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2D13C4C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544"/>
        <w:gridCol w:w="6804"/>
        <w:gridCol w:w="1559"/>
        <w:gridCol w:w="1533"/>
      </w:tblGrid>
      <w:tr w14:paraId="7BA79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</w:tcPr>
          <w:p w14:paraId="1886E05C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ลำดับ</w:t>
            </w:r>
          </w:p>
        </w:tc>
        <w:tc>
          <w:tcPr>
            <w:tcW w:w="3544" w:type="dxa"/>
            <w:vMerge w:val="restart"/>
          </w:tcPr>
          <w:p w14:paraId="0959F9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รายการ</w:t>
            </w:r>
          </w:p>
        </w:tc>
        <w:tc>
          <w:tcPr>
            <w:tcW w:w="6804" w:type="dxa"/>
            <w:vMerge w:val="restart"/>
          </w:tcPr>
          <w:p w14:paraId="5BC363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หลักฐาน</w:t>
            </w:r>
          </w:p>
        </w:tc>
        <w:tc>
          <w:tcPr>
            <w:tcW w:w="3092" w:type="dxa"/>
            <w:gridSpan w:val="2"/>
          </w:tcPr>
          <w:p w14:paraId="71DE63CD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การประเมิน</w:t>
            </w:r>
          </w:p>
        </w:tc>
      </w:tr>
      <w:tr w14:paraId="27B0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67B2B822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4" w:type="dxa"/>
            <w:vMerge w:val="continue"/>
          </w:tcPr>
          <w:p w14:paraId="4E4ED13C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04" w:type="dxa"/>
            <w:vMerge w:val="continue"/>
          </w:tcPr>
          <w:p w14:paraId="40BDBF51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A615C12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คะแนนเต็ม</w:t>
            </w:r>
          </w:p>
        </w:tc>
        <w:tc>
          <w:tcPr>
            <w:tcW w:w="1533" w:type="dxa"/>
          </w:tcPr>
          <w:p w14:paraId="1415E99F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คะแนนที่ได้</w:t>
            </w:r>
          </w:p>
        </w:tc>
      </w:tr>
      <w:tr w14:paraId="670F8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7" w:type="dxa"/>
            <w:gridSpan w:val="3"/>
          </w:tcPr>
          <w:p w14:paraId="0B84E8D1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บันไดขั้นที่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2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วิเคราะห์ข้อมูล   คะแนนรวม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59" w:type="dxa"/>
          </w:tcPr>
          <w:p w14:paraId="04E45B9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3" w:type="dxa"/>
          </w:tcPr>
          <w:p w14:paraId="479981A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14:paraId="01530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</w:tcPr>
          <w:p w14:paraId="5A576CEF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2.1</w:t>
            </w:r>
          </w:p>
        </w:tc>
        <w:tc>
          <w:tcPr>
            <w:tcW w:w="3544" w:type="dxa"/>
            <w:vMerge w:val="restart"/>
          </w:tcPr>
          <w:p w14:paraId="137343A5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วิเคราะห์ข้อมูล และคัดเลือก โรค หรือภาวะ หรือรายการตรวจที่เป็นปัญหาในการสั่งตรวจ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(overutilization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และ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หรือ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underutilization)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66FAF1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04" w:type="dxa"/>
          </w:tcPr>
          <w:p w14:paraId="2D7B71D2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2.1.1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มีหลักฐานการประชุมและมติ รายงานผลวิเคราะห์ข้อมูลและคัดเลือกโรค หรือภาวะ หรือรายการตรวจที่เป็นปัญหาในการสั่งตรวจ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(overutilization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และ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หรือ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underutilization)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โดยแหล่งข้อมูลอาจมาจาก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HIS, LIS, HDC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ฯลฯ อาจวิเคราะห์ข้อมูลจากรายการตรวจที่มี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high cost, high volume</w:t>
            </w:r>
          </w:p>
          <w:p w14:paraId="4410A6AD">
            <w:pPr>
              <w:spacing w:after="0" w:line="240" w:lineRule="auto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2.1.2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ข้อมูลที่ใช้วิเคราะห์ต้องเป็นข้อมูล ณ ปัจจุบัน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หรือข้อมูลจากปีก่อนหน้า</w:t>
            </w:r>
          </w:p>
        </w:tc>
        <w:tc>
          <w:tcPr>
            <w:tcW w:w="1559" w:type="dxa"/>
          </w:tcPr>
          <w:p w14:paraId="05E13620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389AC1BA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E3BCC2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2F5379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379CF2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D7247F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533" w:type="dxa"/>
          </w:tcPr>
          <w:p w14:paraId="519FFA52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6A209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68803DD2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 w:val="continue"/>
          </w:tcPr>
          <w:p w14:paraId="1AD0853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04" w:type="dxa"/>
          </w:tcPr>
          <w:p w14:paraId="21D13D5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2.1.3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มีบัญชีรายการโรค หรือภาวะ หรือรายการตรวจที่เป็นปัญหา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(overutilization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และ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หรือ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underutilization)</w:t>
            </w:r>
          </w:p>
          <w:p w14:paraId="732A145B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1-2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รายการ ได้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คะแนน</w:t>
            </w:r>
          </w:p>
          <w:p w14:paraId="305BCF49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3-4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รายการ ได้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คะแนน</w:t>
            </w:r>
          </w:p>
          <w:p w14:paraId="4D2BF078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4-5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รายการ ได้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คะแนน</w:t>
            </w:r>
          </w:p>
          <w:p w14:paraId="4C948CAA">
            <w:pPr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≥ 6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รายการ ได้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คะแนน</w:t>
            </w:r>
          </w:p>
        </w:tc>
        <w:tc>
          <w:tcPr>
            <w:tcW w:w="1559" w:type="dxa"/>
          </w:tcPr>
          <w:p w14:paraId="79E53A3C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33" w:type="dxa"/>
          </w:tcPr>
          <w:p w14:paraId="69F7FFE3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100B6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2C5C039C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 w:val="continue"/>
          </w:tcPr>
          <w:p w14:paraId="6103537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04" w:type="dxa"/>
          </w:tcPr>
          <w:p w14:paraId="57A59CE6">
            <w:pPr>
              <w:spacing w:after="0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2.1.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การทำบัญชีรายการโรค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หรือภาวะ หรือรายการตรวจที่เป็นปัญหา ต้องใช้แบบฟอร์มของกรมวิทยาศาสตร์การแพทย์ ที่ต้องลงนามผู้จัดทำ และผู้อนุมัติ</w:t>
            </w:r>
          </w:p>
        </w:tc>
        <w:tc>
          <w:tcPr>
            <w:tcW w:w="1559" w:type="dxa"/>
          </w:tcPr>
          <w:p w14:paraId="078104E4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533" w:type="dxa"/>
          </w:tcPr>
          <w:p w14:paraId="7BA5506D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6290C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3FA4ADD5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4" w:type="dxa"/>
            <w:vMerge w:val="continue"/>
          </w:tcPr>
          <w:p w14:paraId="2BADAB8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04" w:type="dxa"/>
          </w:tcPr>
          <w:p w14:paraId="409B44FF">
            <w:pPr>
              <w:spacing w:after="0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2.1.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บัญชีรายการโรคฯ ทั้งหมด ต้องถูกนำไปกำหนดเป็นตัวชี้วัด</w:t>
            </w:r>
          </w:p>
        </w:tc>
        <w:tc>
          <w:tcPr>
            <w:tcW w:w="1559" w:type="dxa"/>
          </w:tcPr>
          <w:p w14:paraId="1FB2BF62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533" w:type="dxa"/>
          </w:tcPr>
          <w:p w14:paraId="2764D6CA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1B359C0">
      <w:pPr>
        <w:rPr>
          <w:rFonts w:hint="cs" w:ascii="TH SarabunPSK" w:hAnsi="TH SarabunPSK" w:cs="TH SarabunPSK"/>
          <w:b/>
          <w:bCs/>
          <w:sz w:val="32"/>
          <w:szCs w:val="32"/>
        </w:rPr>
      </w:pPr>
    </w:p>
    <w:p w14:paraId="543D4C79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5A6D5940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969"/>
        <w:gridCol w:w="6379"/>
        <w:gridCol w:w="1559"/>
        <w:gridCol w:w="1533"/>
      </w:tblGrid>
      <w:tr w14:paraId="28E9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</w:tcPr>
          <w:p w14:paraId="2B2448A1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ลำดับ</w:t>
            </w:r>
          </w:p>
        </w:tc>
        <w:tc>
          <w:tcPr>
            <w:tcW w:w="3969" w:type="dxa"/>
            <w:vMerge w:val="restart"/>
          </w:tcPr>
          <w:p w14:paraId="2A0315A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รายการ</w:t>
            </w:r>
          </w:p>
        </w:tc>
        <w:tc>
          <w:tcPr>
            <w:tcW w:w="6379" w:type="dxa"/>
            <w:vMerge w:val="restart"/>
          </w:tcPr>
          <w:p w14:paraId="5362F80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หลักฐาน</w:t>
            </w:r>
          </w:p>
        </w:tc>
        <w:tc>
          <w:tcPr>
            <w:tcW w:w="3092" w:type="dxa"/>
            <w:gridSpan w:val="2"/>
          </w:tcPr>
          <w:p w14:paraId="16D29D4F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การประเมิน</w:t>
            </w:r>
          </w:p>
        </w:tc>
      </w:tr>
      <w:tr w14:paraId="4E89F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2404F3EB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 w:val="continue"/>
          </w:tcPr>
          <w:p w14:paraId="6D0E4194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9" w:type="dxa"/>
            <w:vMerge w:val="continue"/>
          </w:tcPr>
          <w:p w14:paraId="56F6C858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470C24B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คะแนนเต็ม</w:t>
            </w:r>
          </w:p>
        </w:tc>
        <w:tc>
          <w:tcPr>
            <w:tcW w:w="1533" w:type="dxa"/>
          </w:tcPr>
          <w:p w14:paraId="04DA876C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คะแนนที่ได้</w:t>
            </w:r>
          </w:p>
        </w:tc>
      </w:tr>
      <w:tr w14:paraId="01287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7" w:type="dxa"/>
            <w:gridSpan w:val="3"/>
          </w:tcPr>
          <w:p w14:paraId="53178066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บันไดขั้นที่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3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กำหนดมาตรการเพื่อลด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overutilization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และ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หรือ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underutilization  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คะแนนรวม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559" w:type="dxa"/>
          </w:tcPr>
          <w:p w14:paraId="47A5B0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3" w:type="dxa"/>
          </w:tcPr>
          <w:p w14:paraId="3A7DA4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14:paraId="51E24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07DD97CB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3.1</w:t>
            </w:r>
          </w:p>
        </w:tc>
        <w:tc>
          <w:tcPr>
            <w:tcW w:w="3969" w:type="dxa"/>
          </w:tcPr>
          <w:p w14:paraId="5B14E94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กำหนดมาตรการ หรือแนวทางปฏิบัติเพื่อลด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overutilization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และ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หรือ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underutilization</w:t>
            </w:r>
          </w:p>
        </w:tc>
        <w:tc>
          <w:tcPr>
            <w:tcW w:w="6379" w:type="dxa"/>
          </w:tcPr>
          <w:p w14:paraId="4893019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3.1.1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มีหลักฐานแสดงมาตรการ หรือประกาศ หรือแนวทางของโรงพยาบาลที่กำหนดในการปฏิบัติงาน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3.1.2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มาตรการหรือแนวทางที่กำหนด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ครอบคลุมทุกตัวชี้วัดในบัญชีรายการฯที่ได้จากการวิเคราะห์จากบันไดขั้นที่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ทั้งด้าน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Overutilization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และ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หรือ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Underutilization</w:t>
            </w:r>
          </w:p>
          <w:p w14:paraId="4AB1BFAC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3.1.3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ประกาศมาตรการ โดย ผู้อำนวยการโรงพยาบาล หรือผู้ได้รับมอบหมาย</w:t>
            </w:r>
          </w:p>
          <w:p w14:paraId="201308F2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3.1.4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มีหลักฐานแสดงการสื่อสารไปที่สหวิชาชีพ และมีการดำเนินงานตามมาตรการ</w:t>
            </w:r>
          </w:p>
          <w:p w14:paraId="4C46971C">
            <w:pPr>
              <w:spacing w:after="0" w:line="240" w:lineRule="auto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3.1.5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มีผลการประเมินประสิทธิภาพของทุกมาตรการหรือแนวทาง</w:t>
            </w:r>
          </w:p>
        </w:tc>
        <w:tc>
          <w:tcPr>
            <w:tcW w:w="1559" w:type="dxa"/>
          </w:tcPr>
          <w:p w14:paraId="676082DF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42279F1E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5D6445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238E2763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5B8B6F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74F6B2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6362B411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B92441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8F9071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10D983A7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1FD973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533" w:type="dxa"/>
          </w:tcPr>
          <w:p w14:paraId="1FE5E72C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12007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70CB61F5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3.2</w:t>
            </w:r>
          </w:p>
        </w:tc>
        <w:tc>
          <w:tcPr>
            <w:tcW w:w="3969" w:type="dxa"/>
          </w:tcPr>
          <w:p w14:paraId="7F386EE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กำหนดมาตรการ โดยการใช้ระบบ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IT</w:t>
            </w:r>
          </w:p>
          <w:p w14:paraId="4579D7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</w:p>
        </w:tc>
        <w:tc>
          <w:tcPr>
            <w:tcW w:w="6379" w:type="dxa"/>
          </w:tcPr>
          <w:p w14:paraId="5D543A1F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3.2.1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มีหลักฐานแสดงการใช้ระบบ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IT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ของตรวจตัวชี้วัดการตรวจราชการ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RLU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ในการกำหนดมาตรการ เช่น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pop up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แจ้งเตือนการส่งตรวจซ้ำ หรือแจ้งเตือนในกรณีที่ยังไม่ได้รับการตรวจ ฯลฯ</w:t>
            </w:r>
          </w:p>
          <w:p w14:paraId="03469F0B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ไม่มีระบบ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IT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ได้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0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คะแนน</w:t>
            </w:r>
          </w:p>
          <w:p w14:paraId="47500C10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มีระบบ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IT 1- 6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รายการ ได้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5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คะแนน</w:t>
            </w:r>
          </w:p>
          <w:p w14:paraId="6E47B8DD">
            <w:pPr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มีระบบ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IT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มากกว่าหรือเท่ากับ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7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รายการ ได้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10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คะแนน</w:t>
            </w:r>
          </w:p>
        </w:tc>
        <w:tc>
          <w:tcPr>
            <w:tcW w:w="1559" w:type="dxa"/>
          </w:tcPr>
          <w:p w14:paraId="508BEB53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533" w:type="dxa"/>
          </w:tcPr>
          <w:p w14:paraId="22CF9E81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77558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43B2AAEE">
            <w:pPr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3.3</w:t>
            </w:r>
          </w:p>
        </w:tc>
        <w:tc>
          <w:tcPr>
            <w:tcW w:w="3969" w:type="dxa"/>
          </w:tcPr>
          <w:p w14:paraId="38544FD1">
            <w:pP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มีการตอบสนองต่อการแจ้งเตือน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379" w:type="dxa"/>
          </w:tcPr>
          <w:p w14:paraId="1586D939">
            <w:pPr>
              <w:spacing w:after="0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3.3.1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มีหลักฐาน</w:t>
            </w:r>
            <w:r>
              <w:rPr>
                <w:rFonts w:hint="cs" w:ascii="TH SarabunPSK" w:hAnsi="TH SarabunPSK" w:cs="TH SarabunPSK"/>
                <w:sz w:val="32"/>
                <w:szCs w:val="32"/>
                <w:cs/>
                <w:lang w:val="th-TH" w:bidi="th-TH"/>
              </w:rPr>
              <w:t>หรือแนวทางการ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ตอบสนองต่อการแจ้งเตือน</w:t>
            </w:r>
          </w:p>
        </w:tc>
        <w:tc>
          <w:tcPr>
            <w:tcW w:w="1559" w:type="dxa"/>
          </w:tcPr>
          <w:p w14:paraId="71482071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533" w:type="dxa"/>
          </w:tcPr>
          <w:p w14:paraId="77118CDA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0C6F14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487C553">
      <w:pPr>
        <w:rPr>
          <w:rFonts w:hint="cs" w:ascii="TH SarabunPSK" w:hAnsi="TH SarabunPSK" w:cs="TH SarabunPSK"/>
          <w:b/>
          <w:bCs/>
          <w:sz w:val="32"/>
          <w:szCs w:val="32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969"/>
        <w:gridCol w:w="6379"/>
        <w:gridCol w:w="1559"/>
        <w:gridCol w:w="1533"/>
      </w:tblGrid>
      <w:tr w14:paraId="7B4C6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</w:tcPr>
          <w:p w14:paraId="51197BA2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ลำดับ</w:t>
            </w:r>
          </w:p>
        </w:tc>
        <w:tc>
          <w:tcPr>
            <w:tcW w:w="3969" w:type="dxa"/>
            <w:vMerge w:val="restart"/>
          </w:tcPr>
          <w:p w14:paraId="59A8E4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รายการ</w:t>
            </w:r>
          </w:p>
        </w:tc>
        <w:tc>
          <w:tcPr>
            <w:tcW w:w="6379" w:type="dxa"/>
            <w:vMerge w:val="restart"/>
          </w:tcPr>
          <w:p w14:paraId="3F48278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หลักฐาน</w:t>
            </w:r>
          </w:p>
        </w:tc>
        <w:tc>
          <w:tcPr>
            <w:tcW w:w="3092" w:type="dxa"/>
            <w:gridSpan w:val="2"/>
          </w:tcPr>
          <w:p w14:paraId="4E21A1E3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การประเมิน</w:t>
            </w:r>
          </w:p>
        </w:tc>
      </w:tr>
      <w:tr w14:paraId="3319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3D7C984F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 w:val="continue"/>
          </w:tcPr>
          <w:p w14:paraId="6FEBD44E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9" w:type="dxa"/>
            <w:vMerge w:val="continue"/>
          </w:tcPr>
          <w:p w14:paraId="453CAAB9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36E54BF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คะแนนเต็ม</w:t>
            </w:r>
          </w:p>
        </w:tc>
        <w:tc>
          <w:tcPr>
            <w:tcW w:w="1533" w:type="dxa"/>
          </w:tcPr>
          <w:p w14:paraId="7AB5FF8C">
            <w:pPr>
              <w:jc w:val="center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  <w:lang w:val="th-TH" w:bidi="th-TH"/>
              </w:rPr>
              <w:t>คะแนนที่ได้</w:t>
            </w:r>
          </w:p>
        </w:tc>
      </w:tr>
      <w:tr w14:paraId="5A54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7" w:type="dxa"/>
            <w:gridSpan w:val="3"/>
          </w:tcPr>
          <w:p w14:paraId="77CADF60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บันไดขั้นที่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4 </w:t>
            </w:r>
            <w:bookmarkStart w:id="2" w:name="_Hlk161230224"/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การประเมินผล</w:t>
            </w:r>
            <w:bookmarkEnd w:id="2"/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คะแนนรวม </w:t>
            </w: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559" w:type="dxa"/>
          </w:tcPr>
          <w:p w14:paraId="3CE866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3" w:type="dxa"/>
          </w:tcPr>
          <w:p w14:paraId="3A9DFF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14:paraId="69B2D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</w:tcPr>
          <w:p w14:paraId="02335D93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4.1</w:t>
            </w:r>
          </w:p>
        </w:tc>
        <w:tc>
          <w:tcPr>
            <w:tcW w:w="3969" w:type="dxa"/>
            <w:vMerge w:val="restart"/>
          </w:tcPr>
          <w:p w14:paraId="07997A1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มีการกำหนดตัวชี้วัด และการประเมินผล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RLU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ตัวชี้วัดด้าน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overutilization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และ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หรือ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underutilization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379" w:type="dxa"/>
          </w:tcPr>
          <w:p w14:paraId="25EC915B">
            <w:pPr>
              <w:spacing w:after="0" w:line="240" w:lineRule="auto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4.1.1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มีหลักฐานการกำหนดเป็นตัวชี้วัด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RLU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ของโรงพยาบาลที่ระบุเป้าหมาย วัดผลได้ ที่ผู้อำนวยการโรงพยาบาล หรือ ผู้บริหารสูงสุด ลงนามเป็นลายลักษณ์อักษร</w:t>
            </w:r>
          </w:p>
        </w:tc>
        <w:tc>
          <w:tcPr>
            <w:tcW w:w="1559" w:type="dxa"/>
          </w:tcPr>
          <w:p w14:paraId="7F911CD9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33" w:type="dxa"/>
          </w:tcPr>
          <w:p w14:paraId="7D0CA8C0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5896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0CD5CCE8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Merge w:val="continue"/>
          </w:tcPr>
          <w:p w14:paraId="01229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79" w:type="dxa"/>
          </w:tcPr>
          <w:p w14:paraId="275761F8">
            <w:pPr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4.1.2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มีหลักฐานการติดตาม วิเคราะห์ ประเมินผลตัวชี้วัด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RLU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พร้อมแสดงผลลัพธ์ที่ชัดเจน  </w:t>
            </w:r>
          </w:p>
        </w:tc>
        <w:tc>
          <w:tcPr>
            <w:tcW w:w="1559" w:type="dxa"/>
          </w:tcPr>
          <w:p w14:paraId="5E56286E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33" w:type="dxa"/>
          </w:tcPr>
          <w:p w14:paraId="2A59F84A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173FB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</w:tcPr>
          <w:p w14:paraId="5DDD6863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  <w:vMerge w:val="continue"/>
          </w:tcPr>
          <w:p w14:paraId="11FA7FF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79" w:type="dxa"/>
          </w:tcPr>
          <w:p w14:paraId="520C3D69">
            <w:pPr>
              <w:spacing w:after="0" w:line="240" w:lineRule="auto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4.1.3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มีการแสดงแนวโน้มผลลัพธ์ มีกระบวนการเรียนรู้ สู่การปรับเปลี่ยนระบบงาน </w:t>
            </w:r>
          </w:p>
        </w:tc>
        <w:tc>
          <w:tcPr>
            <w:tcW w:w="1559" w:type="dxa"/>
          </w:tcPr>
          <w:p w14:paraId="3A9CC9B3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33" w:type="dxa"/>
          </w:tcPr>
          <w:p w14:paraId="2BF2A8BA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49B8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28DAB7D0">
            <w:pPr>
              <w:rPr>
                <w:rFonts w:hint="cs"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4.2</w:t>
            </w:r>
          </w:p>
        </w:tc>
        <w:tc>
          <w:tcPr>
            <w:tcW w:w="3969" w:type="dxa"/>
          </w:tcPr>
          <w:p w14:paraId="57374141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มีการติดตามตัวชี้วัด โดยใช้ระบบ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IT</w:t>
            </w:r>
          </w:p>
          <w:p w14:paraId="69CA61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</w:p>
        </w:tc>
        <w:tc>
          <w:tcPr>
            <w:tcW w:w="6379" w:type="dxa"/>
          </w:tcPr>
          <w:p w14:paraId="025D2EEA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4.2.1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ตัวชี้วัด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RLU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ที่เป็นตัวชี้วัดการตรวจราชการกระทรวงสาธารณสุข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แสดงผลการติดตามตัวชี้วัดด้วย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HDC</w:t>
            </w:r>
          </w:p>
          <w:p w14:paraId="141515FD">
            <w:pPr>
              <w:spacing w:after="0" w:line="240" w:lineRule="auto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4.2.2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ตัวชี้วัด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RLU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ที่โรงพยาบาลกำหนดเพิ่มเติม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แสดงผลการติดตามตัวชี้วัดด้วยโปรแกรม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RLU KPI Monitor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ที่กรมวิทยาศาสตร์การแพทย์จัดเตรียมไว้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หรือโปรแกรมของโรงพยาบาลเอง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559" w:type="dxa"/>
          </w:tcPr>
          <w:p w14:paraId="629610CE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3</w:t>
            </w:r>
          </w:p>
          <w:p w14:paraId="1E4DA939">
            <w:pPr>
              <w:pStyle w:val="9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F93B78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533" w:type="dxa"/>
          </w:tcPr>
          <w:p w14:paraId="7F6B12AD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6FDEB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</w:tcPr>
          <w:p w14:paraId="6DEE9B88">
            <w:pPr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4.3</w:t>
            </w:r>
          </w:p>
        </w:tc>
        <w:tc>
          <w:tcPr>
            <w:tcW w:w="3969" w:type="dxa"/>
          </w:tcPr>
          <w:p w14:paraId="75D1A478">
            <w:pPr>
              <w:spacing w:after="0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รายงานผลค่าใช้จ่ายทางห้องปฏิบัติการในโปรแกรม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LabEx</w:t>
            </w:r>
          </w:p>
        </w:tc>
        <w:tc>
          <w:tcPr>
            <w:tcW w:w="6379" w:type="dxa"/>
          </w:tcPr>
          <w:p w14:paraId="069F7760">
            <w:pPr>
              <w:spacing w:after="0"/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4.3.1 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(The Must)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รายงานผลค่าใช้จ่ายทางห้องปฏิบัติการในโปรแกรม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LabEx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โดยลงข้อมูลของปีงบประมาณก่อนหน้า และปีงบประมาณปัจจุบัน เช่น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2568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 xml:space="preserve">และ </w:t>
            </w:r>
            <w:r>
              <w:rPr>
                <w:rFonts w:hint="cs" w:ascii="TH SarabunPSK" w:hAnsi="TH SarabunPSK" w:cs="TH SarabunPSK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2569</w:t>
            </w:r>
          </w:p>
        </w:tc>
        <w:tc>
          <w:tcPr>
            <w:tcW w:w="1559" w:type="dxa"/>
          </w:tcPr>
          <w:p w14:paraId="2EB34105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533" w:type="dxa"/>
          </w:tcPr>
          <w:p w14:paraId="2DD21790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  <w:tr w14:paraId="0856B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77" w:type="dxa"/>
            <w:gridSpan w:val="3"/>
          </w:tcPr>
          <w:p w14:paraId="69D268A0">
            <w:pPr>
              <w:spacing w:after="0"/>
              <w:jc w:val="center"/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cs"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val="th-TH" w:bidi="th-TH"/>
                <w14:textFill>
                  <w14:solidFill>
                    <w14:schemeClr w14:val="tx1"/>
                  </w14:solidFill>
                </w14:textFill>
              </w:rPr>
              <w:t>คะแนนรวม</w:t>
            </w:r>
          </w:p>
        </w:tc>
        <w:tc>
          <w:tcPr>
            <w:tcW w:w="1559" w:type="dxa"/>
          </w:tcPr>
          <w:p w14:paraId="4804A7CD">
            <w:pPr>
              <w:pStyle w:val="9"/>
              <w:spacing w:after="0" w:line="240" w:lineRule="auto"/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hint="cs" w:ascii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533" w:type="dxa"/>
          </w:tcPr>
          <w:p w14:paraId="75A64FF7">
            <w:pPr>
              <w:pStyle w:val="9"/>
              <w:spacing w:after="0" w:line="240" w:lineRule="auto"/>
              <w:rPr>
                <w:rFonts w:hint="cs"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7250D1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หมายเหตุ</w:t>
      </w:r>
    </w:p>
    <w:p w14:paraId="7372FC78">
      <w:pPr>
        <w:pStyle w:val="9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การให้คะแนน 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คะแนนที่ได้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 xml:space="preserve">)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ให้ได้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กรณี คือ </w:t>
      </w:r>
      <w:r>
        <w:rPr>
          <w:rFonts w:ascii="TH SarabunPSK" w:hAnsi="TH SarabunPSK" w:cs="TH SarabunPSK"/>
          <w:b/>
          <w:bCs/>
          <w:sz w:val="32"/>
          <w:szCs w:val="32"/>
        </w:rPr>
        <w:t>1)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คะแนนเต็ม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กรณีที่ทำได้ครบถ้วน และ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2)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คะแนนศูนย์ กรณีที่ทำได้บางส่วนหรือไม่ได้ทำเลย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 w:type="textWrapping"/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ยกเว้นข้อ </w:t>
      </w:r>
      <w:r>
        <w:rPr>
          <w:rFonts w:ascii="TH SarabunPSK" w:hAnsi="TH SarabunPSK" w:cs="TH SarabunPSK"/>
          <w:b/>
          <w:bCs/>
          <w:sz w:val="32"/>
          <w:szCs w:val="32"/>
        </w:rPr>
        <w:t>2.1.3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เกรดคะแนนเป็น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1, 2, 3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และ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คะแนน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และข้อ </w:t>
      </w:r>
      <w:r>
        <w:rPr>
          <w:rFonts w:ascii="TH SarabunPSK" w:hAnsi="TH SarabunPSK" w:cs="TH SarabunPSK"/>
          <w:b/>
          <w:bCs/>
          <w:sz w:val="32"/>
          <w:szCs w:val="32"/>
        </w:rPr>
        <w:t>3.2.1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เกรดคะแนนเป็น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0, 5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และ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คะแนน</w:t>
      </w:r>
    </w:p>
    <w:p w14:paraId="1D4C89BF">
      <w:pPr>
        <w:pStyle w:val="9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เกณฑ์การผ่านเป็น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RLU Hospital Plus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คือ</w:t>
      </w:r>
    </w:p>
    <w:p w14:paraId="1C4D2B7F">
      <w:pPr>
        <w:pStyle w:val="9"/>
        <w:numPr>
          <w:ilvl w:val="1"/>
          <w:numId w:val="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ผ่านข้อ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The Must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ทุกข้อ</w:t>
      </w:r>
    </w:p>
    <w:p w14:paraId="60FC8BD1">
      <w:pPr>
        <w:pStyle w:val="9"/>
        <w:numPr>
          <w:ilvl w:val="1"/>
          <w:numId w:val="4"/>
        </w:numPr>
        <w:spacing w:after="0" w:line="240" w:lineRule="auto"/>
        <w:rPr>
          <w:rFonts w:hint="cs" w:ascii="TH SarabunPSK" w:hAnsi="TH SarabunPSK" w:cs="TH SarabunPSK"/>
          <w:b/>
          <w:bCs/>
          <w:sz w:val="32"/>
          <w:szCs w:val="32"/>
        </w:rPr>
      </w:pP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 xml:space="preserve">คะแนนรวม </w:t>
      </w:r>
      <w:r>
        <w:rPr>
          <w:rFonts w:hint="cs" w:ascii="TH SarabunPSK" w:hAnsi="TH SarabunPSK" w:cs="TH SarabunPSK"/>
          <w:b/>
          <w:bCs/>
          <w:sz w:val="32"/>
          <w:szCs w:val="32"/>
          <w:cs/>
        </w:rPr>
        <w:t xml:space="preserve">≥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80 </w:t>
      </w:r>
      <w:r>
        <w:rPr>
          <w:rFonts w:hint="cs" w:ascii="TH SarabunPSK" w:hAnsi="TH SarabunPSK" w:cs="TH SarabunPSK"/>
          <w:b/>
          <w:bCs/>
          <w:sz w:val="32"/>
          <w:szCs w:val="32"/>
          <w:cs/>
          <w:lang w:val="th-TH" w:bidi="th-TH"/>
        </w:rPr>
        <w:t>คะแนน</w:t>
      </w:r>
    </w:p>
    <w:sectPr>
      <w:pgSz w:w="16838" w:h="11906" w:orient="landscape"/>
      <w:pgMar w:top="851" w:right="851" w:bottom="851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ngsana New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default"/>
    <w:sig w:usb0="00000000" w:usb1="00000000" w:usb2="00000000" w:usb3="00000000" w:csb0="00010183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H SarabunIT๙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2257D"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E16683"/>
    <w:multiLevelType w:val="multilevel"/>
    <w:tmpl w:val="30E16683"/>
    <w:lvl w:ilvl="0" w:tentative="0">
      <w:start w:val="0"/>
      <w:numFmt w:val="bullet"/>
      <w:lvlText w:val="-"/>
      <w:lvlJc w:val="left"/>
      <w:pPr>
        <w:ind w:left="1080" w:hanging="360"/>
      </w:pPr>
      <w:rPr>
        <w:rFonts w:hint="default" w:ascii="TH SarabunPSK" w:hAnsi="TH SarabunPSK" w:cs="TH SarabunPSK" w:eastAsiaTheme="minorHAnsi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38750CC2"/>
    <w:multiLevelType w:val="multilevel"/>
    <w:tmpl w:val="38750CC2"/>
    <w:lvl w:ilvl="0" w:tentative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587D0159"/>
    <w:multiLevelType w:val="multilevel"/>
    <w:tmpl w:val="587D0159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decimal"/>
      <w:lvlText w:val="%2)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080666"/>
    <w:multiLevelType w:val="multilevel"/>
    <w:tmpl w:val="6E08066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D0A"/>
    <w:rsid w:val="00003B1B"/>
    <w:rsid w:val="00031C24"/>
    <w:rsid w:val="00055EBE"/>
    <w:rsid w:val="00075412"/>
    <w:rsid w:val="00084EED"/>
    <w:rsid w:val="00091448"/>
    <w:rsid w:val="000978F2"/>
    <w:rsid w:val="00097B62"/>
    <w:rsid w:val="000A1ACA"/>
    <w:rsid w:val="000D2DC4"/>
    <w:rsid w:val="000D4D0A"/>
    <w:rsid w:val="000D6528"/>
    <w:rsid w:val="000D72FC"/>
    <w:rsid w:val="000E5C38"/>
    <w:rsid w:val="000E7CEB"/>
    <w:rsid w:val="000F2A66"/>
    <w:rsid w:val="001067D7"/>
    <w:rsid w:val="001210D2"/>
    <w:rsid w:val="001210D9"/>
    <w:rsid w:val="00144E1F"/>
    <w:rsid w:val="001512AD"/>
    <w:rsid w:val="00154714"/>
    <w:rsid w:val="0016100E"/>
    <w:rsid w:val="00167626"/>
    <w:rsid w:val="00183CF7"/>
    <w:rsid w:val="001843A3"/>
    <w:rsid w:val="001A10B4"/>
    <w:rsid w:val="001A6984"/>
    <w:rsid w:val="001C0AB4"/>
    <w:rsid w:val="001C2852"/>
    <w:rsid w:val="001D6993"/>
    <w:rsid w:val="001E1DF6"/>
    <w:rsid w:val="001E3FCF"/>
    <w:rsid w:val="00203345"/>
    <w:rsid w:val="00216B1D"/>
    <w:rsid w:val="00241583"/>
    <w:rsid w:val="00244E3E"/>
    <w:rsid w:val="002767DC"/>
    <w:rsid w:val="002940B8"/>
    <w:rsid w:val="00295B5A"/>
    <w:rsid w:val="002B402E"/>
    <w:rsid w:val="002B7784"/>
    <w:rsid w:val="002D2286"/>
    <w:rsid w:val="002D3C2F"/>
    <w:rsid w:val="002F5999"/>
    <w:rsid w:val="00303CA2"/>
    <w:rsid w:val="0030474D"/>
    <w:rsid w:val="00314812"/>
    <w:rsid w:val="00320A7A"/>
    <w:rsid w:val="00327ED0"/>
    <w:rsid w:val="0034553D"/>
    <w:rsid w:val="003477CB"/>
    <w:rsid w:val="0036607E"/>
    <w:rsid w:val="00396B8D"/>
    <w:rsid w:val="003A17FA"/>
    <w:rsid w:val="003B7871"/>
    <w:rsid w:val="003C01D7"/>
    <w:rsid w:val="003D47A0"/>
    <w:rsid w:val="003F1464"/>
    <w:rsid w:val="00403D49"/>
    <w:rsid w:val="00411E99"/>
    <w:rsid w:val="00414C57"/>
    <w:rsid w:val="00424E45"/>
    <w:rsid w:val="00454245"/>
    <w:rsid w:val="004570F5"/>
    <w:rsid w:val="00465578"/>
    <w:rsid w:val="00481681"/>
    <w:rsid w:val="00481EA5"/>
    <w:rsid w:val="00491106"/>
    <w:rsid w:val="004A1D44"/>
    <w:rsid w:val="004A6626"/>
    <w:rsid w:val="004B2A65"/>
    <w:rsid w:val="004E5B7D"/>
    <w:rsid w:val="004F01D4"/>
    <w:rsid w:val="004F29EF"/>
    <w:rsid w:val="00540DA5"/>
    <w:rsid w:val="00552FE4"/>
    <w:rsid w:val="00584BC3"/>
    <w:rsid w:val="005906FE"/>
    <w:rsid w:val="00597500"/>
    <w:rsid w:val="005A4CE6"/>
    <w:rsid w:val="005D1A13"/>
    <w:rsid w:val="005D5584"/>
    <w:rsid w:val="005D602C"/>
    <w:rsid w:val="005E6C91"/>
    <w:rsid w:val="005E7744"/>
    <w:rsid w:val="005F3370"/>
    <w:rsid w:val="005F52D1"/>
    <w:rsid w:val="00607D2C"/>
    <w:rsid w:val="00612EA4"/>
    <w:rsid w:val="00626086"/>
    <w:rsid w:val="00632E23"/>
    <w:rsid w:val="006508BD"/>
    <w:rsid w:val="00652F25"/>
    <w:rsid w:val="006671B6"/>
    <w:rsid w:val="006807F8"/>
    <w:rsid w:val="0068123D"/>
    <w:rsid w:val="0068610F"/>
    <w:rsid w:val="006A174F"/>
    <w:rsid w:val="006A1F80"/>
    <w:rsid w:val="006A6F93"/>
    <w:rsid w:val="006C1150"/>
    <w:rsid w:val="006C1A99"/>
    <w:rsid w:val="006C22F6"/>
    <w:rsid w:val="006C56D7"/>
    <w:rsid w:val="006D33E7"/>
    <w:rsid w:val="006D4E12"/>
    <w:rsid w:val="006E1715"/>
    <w:rsid w:val="006E20C7"/>
    <w:rsid w:val="006E44E8"/>
    <w:rsid w:val="006E7BB9"/>
    <w:rsid w:val="006F4158"/>
    <w:rsid w:val="006F6634"/>
    <w:rsid w:val="007016EE"/>
    <w:rsid w:val="00705500"/>
    <w:rsid w:val="007126BF"/>
    <w:rsid w:val="0073413C"/>
    <w:rsid w:val="00751E62"/>
    <w:rsid w:val="00780363"/>
    <w:rsid w:val="007835C3"/>
    <w:rsid w:val="00786538"/>
    <w:rsid w:val="007929FA"/>
    <w:rsid w:val="00793923"/>
    <w:rsid w:val="00797256"/>
    <w:rsid w:val="007A5200"/>
    <w:rsid w:val="007B33FD"/>
    <w:rsid w:val="007C34FC"/>
    <w:rsid w:val="007F2F29"/>
    <w:rsid w:val="00806B5C"/>
    <w:rsid w:val="00822447"/>
    <w:rsid w:val="00825227"/>
    <w:rsid w:val="0085276C"/>
    <w:rsid w:val="00855A6D"/>
    <w:rsid w:val="00861CF3"/>
    <w:rsid w:val="008747D3"/>
    <w:rsid w:val="008822B6"/>
    <w:rsid w:val="00886BE9"/>
    <w:rsid w:val="008A1201"/>
    <w:rsid w:val="008B0785"/>
    <w:rsid w:val="008B3CB2"/>
    <w:rsid w:val="008B7AA1"/>
    <w:rsid w:val="008D3050"/>
    <w:rsid w:val="008D55A5"/>
    <w:rsid w:val="008E0192"/>
    <w:rsid w:val="008E14B6"/>
    <w:rsid w:val="009072FB"/>
    <w:rsid w:val="00920AB4"/>
    <w:rsid w:val="009240DD"/>
    <w:rsid w:val="0092734F"/>
    <w:rsid w:val="00933046"/>
    <w:rsid w:val="00936C7D"/>
    <w:rsid w:val="0094141D"/>
    <w:rsid w:val="009700E1"/>
    <w:rsid w:val="0097330E"/>
    <w:rsid w:val="0097456E"/>
    <w:rsid w:val="0098351F"/>
    <w:rsid w:val="0098739E"/>
    <w:rsid w:val="009904A2"/>
    <w:rsid w:val="00996E93"/>
    <w:rsid w:val="009B1C8C"/>
    <w:rsid w:val="009C4658"/>
    <w:rsid w:val="009C6D28"/>
    <w:rsid w:val="009C7E67"/>
    <w:rsid w:val="009E68D3"/>
    <w:rsid w:val="009F257B"/>
    <w:rsid w:val="00A077E2"/>
    <w:rsid w:val="00A1575E"/>
    <w:rsid w:val="00A27004"/>
    <w:rsid w:val="00A45FAA"/>
    <w:rsid w:val="00A539D0"/>
    <w:rsid w:val="00A562A2"/>
    <w:rsid w:val="00A644CE"/>
    <w:rsid w:val="00A95507"/>
    <w:rsid w:val="00AC1925"/>
    <w:rsid w:val="00AC479C"/>
    <w:rsid w:val="00AD44E9"/>
    <w:rsid w:val="00AE2586"/>
    <w:rsid w:val="00AE4C86"/>
    <w:rsid w:val="00AF2803"/>
    <w:rsid w:val="00B1035A"/>
    <w:rsid w:val="00B23CB2"/>
    <w:rsid w:val="00B62EEF"/>
    <w:rsid w:val="00B703A3"/>
    <w:rsid w:val="00B903EA"/>
    <w:rsid w:val="00BA2479"/>
    <w:rsid w:val="00BD3DC6"/>
    <w:rsid w:val="00BE0545"/>
    <w:rsid w:val="00BE2B87"/>
    <w:rsid w:val="00BE531C"/>
    <w:rsid w:val="00C05599"/>
    <w:rsid w:val="00C06812"/>
    <w:rsid w:val="00C07B27"/>
    <w:rsid w:val="00C17A8E"/>
    <w:rsid w:val="00C25560"/>
    <w:rsid w:val="00C4468C"/>
    <w:rsid w:val="00C5113E"/>
    <w:rsid w:val="00C752F5"/>
    <w:rsid w:val="00C9467A"/>
    <w:rsid w:val="00CD08E4"/>
    <w:rsid w:val="00CE1BC2"/>
    <w:rsid w:val="00CE58CA"/>
    <w:rsid w:val="00D1377A"/>
    <w:rsid w:val="00D52183"/>
    <w:rsid w:val="00D74FCE"/>
    <w:rsid w:val="00D847B7"/>
    <w:rsid w:val="00D9044F"/>
    <w:rsid w:val="00DB45BF"/>
    <w:rsid w:val="00DB674B"/>
    <w:rsid w:val="00DC06D3"/>
    <w:rsid w:val="00DC3B33"/>
    <w:rsid w:val="00DC754A"/>
    <w:rsid w:val="00DD5098"/>
    <w:rsid w:val="00DE5A99"/>
    <w:rsid w:val="00E14B91"/>
    <w:rsid w:val="00E503ED"/>
    <w:rsid w:val="00E61E0D"/>
    <w:rsid w:val="00E64FB4"/>
    <w:rsid w:val="00E8069B"/>
    <w:rsid w:val="00E93896"/>
    <w:rsid w:val="00EA58A4"/>
    <w:rsid w:val="00EA7562"/>
    <w:rsid w:val="00EB7BF7"/>
    <w:rsid w:val="00EC0D8A"/>
    <w:rsid w:val="00EC3C77"/>
    <w:rsid w:val="00EF1286"/>
    <w:rsid w:val="00F2470E"/>
    <w:rsid w:val="00F278FD"/>
    <w:rsid w:val="00F30969"/>
    <w:rsid w:val="00F5065F"/>
    <w:rsid w:val="00F53CEA"/>
    <w:rsid w:val="00F55CBB"/>
    <w:rsid w:val="00F657E6"/>
    <w:rsid w:val="00F70530"/>
    <w:rsid w:val="00F72D0F"/>
    <w:rsid w:val="00F83A1B"/>
    <w:rsid w:val="00F91394"/>
    <w:rsid w:val="00F975A3"/>
    <w:rsid w:val="00FB539B"/>
    <w:rsid w:val="00FF20E1"/>
    <w:rsid w:val="677236E9"/>
    <w:rsid w:val="7F26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376092" w:themeColor="accent1" w:themeShade="BF"/>
      <w:kern w:val="2"/>
      <w:sz w:val="40"/>
      <w:szCs w:val="50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11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7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Unresolved Mention"/>
    <w:basedOn w:val="3"/>
    <w:semiHidden/>
    <w:unhideWhenUsed/>
    <w:uiPriority w:val="99"/>
    <w:rPr>
      <w:color w:val="605E5C"/>
      <w:shd w:val="clear" w:color="auto" w:fill="E1DFDD"/>
    </w:rPr>
  </w:style>
  <w:style w:type="character" w:customStyle="1" w:styleId="11">
    <w:name w:val="หัวกระดาษ อักขระ"/>
    <w:basedOn w:val="3"/>
    <w:link w:val="6"/>
    <w:qFormat/>
    <w:uiPriority w:val="99"/>
  </w:style>
  <w:style w:type="character" w:customStyle="1" w:styleId="12">
    <w:name w:val="ท้ายกระดาษ อักขระ"/>
    <w:basedOn w:val="3"/>
    <w:link w:val="5"/>
    <w:uiPriority w:val="99"/>
  </w:style>
  <w:style w:type="character" w:customStyle="1" w:styleId="13">
    <w:name w:val="หัวเรื่อง 1 อักขระ"/>
    <w:basedOn w:val="3"/>
    <w:link w:val="2"/>
    <w:uiPriority w:val="9"/>
    <w:rPr>
      <w:rFonts w:asciiTheme="majorHAnsi" w:hAnsiTheme="majorHAnsi" w:eastAsiaTheme="majorEastAsia" w:cstheme="majorBidi"/>
      <w:color w:val="376092" w:themeColor="accent1" w:themeShade="BF"/>
      <w:kern w:val="2"/>
      <w:sz w:val="40"/>
      <w:szCs w:val="50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37B81-B2FD-4E6B-A8DF-892F68A0AD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2560</Words>
  <Characters>14597</Characters>
  <Lines>121</Lines>
  <Paragraphs>34</Paragraphs>
  <TotalTime>474</TotalTime>
  <ScaleCrop>false</ScaleCrop>
  <LinksUpToDate>false</LinksUpToDate>
  <CharactersWithSpaces>17123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2025-12-24T03:54:00Z</dcterms:created>
  <dc:creator>MasterData1</dc:creator>
  <cp:lastModifiedBy>ดาราวรรณ</cp:lastModifiedBy>
  <cp:lastPrinted>2024-08-29T06:31:00Z</cp:lastPrinted>
  <dcterms:modified xsi:type="dcterms:W3CDTF">2026-01-09T02:44:12Z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390D69E1C87B4419B1B9B086B963D0B7_13</vt:lpwstr>
  </property>
</Properties>
</file>